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8"/>
        <w:gridCol w:w="3519"/>
        <w:gridCol w:w="1511"/>
        <w:gridCol w:w="1768"/>
      </w:tblGrid>
      <w:tr w:rsidR="00CB5FBB" w14:paraId="4257BF12" w14:textId="77777777">
        <w:tc>
          <w:tcPr>
            <w:tcW w:w="1555" w:type="dxa"/>
            <w:vAlign w:val="bottom"/>
          </w:tcPr>
          <w:p w14:paraId="60907BD5" w14:textId="77777777" w:rsidR="00CB5FBB" w:rsidRDefault="00000000">
            <w:pPr>
              <w:ind w:firstLineChars="0" w:firstLine="0"/>
              <w:jc w:val="left"/>
              <w:rPr>
                <w:rFonts w:ascii="宋体" w:hAnsi="宋体" w:hint="eastAsia"/>
                <w:color w:val="000000"/>
                <w:kern w:val="0"/>
                <w:sz w:val="24"/>
                <w:szCs w:val="24"/>
              </w:rPr>
            </w:pPr>
            <w:r>
              <w:rPr>
                <w:rFonts w:ascii="宋体" w:hAnsi="宋体"/>
                <w:color w:val="000000"/>
                <w:kern w:val="0"/>
                <w:sz w:val="24"/>
                <w:szCs w:val="24"/>
              </w:rPr>
              <w:t>学</w:t>
            </w:r>
            <w:r>
              <w:rPr>
                <w:color w:val="000000"/>
                <w:kern w:val="0"/>
                <w:sz w:val="24"/>
                <w:szCs w:val="24"/>
              </w:rPr>
              <w:t xml:space="preserve">    </w:t>
            </w:r>
            <w:r>
              <w:rPr>
                <w:rFonts w:ascii="宋体" w:hAnsi="宋体"/>
                <w:color w:val="000000"/>
                <w:kern w:val="0"/>
                <w:sz w:val="24"/>
                <w:szCs w:val="24"/>
              </w:rPr>
              <w:t>号</w:t>
            </w:r>
            <w:r>
              <w:rPr>
                <w:rFonts w:ascii="宋体" w:hAnsi="宋体" w:hint="eastAsia"/>
                <w:color w:val="000000"/>
                <w:kern w:val="0"/>
                <w:sz w:val="24"/>
                <w:szCs w:val="24"/>
              </w:rPr>
              <w:t>：</w:t>
            </w:r>
          </w:p>
        </w:tc>
        <w:tc>
          <w:tcPr>
            <w:tcW w:w="3685" w:type="dxa"/>
            <w:vAlign w:val="bottom"/>
          </w:tcPr>
          <w:p w14:paraId="21EB739F" w14:textId="77777777" w:rsidR="00CB5FBB" w:rsidRDefault="00000000">
            <w:pPr>
              <w:ind w:firstLineChars="0" w:firstLine="0"/>
              <w:jc w:val="left"/>
              <w:rPr>
                <w:rFonts w:ascii="宋体" w:hAnsi="宋体" w:hint="eastAsia"/>
                <w:color w:val="000000"/>
                <w:kern w:val="0"/>
                <w:sz w:val="24"/>
                <w:szCs w:val="24"/>
              </w:rPr>
            </w:pPr>
            <w:permStart w:id="1590123551" w:edGrp="everyone"/>
            <w:r>
              <w:rPr>
                <w:rFonts w:ascii="宋体" w:hAnsi="宋体" w:hint="eastAsia"/>
                <w:color w:val="000000"/>
                <w:kern w:val="0"/>
                <w:sz w:val="24"/>
                <w:szCs w:val="24"/>
              </w:rPr>
              <w:t>B121</w:t>
            </w:r>
            <w:permEnd w:id="1590123551"/>
          </w:p>
        </w:tc>
        <w:tc>
          <w:tcPr>
            <w:tcW w:w="1559" w:type="dxa"/>
            <w:vAlign w:val="bottom"/>
          </w:tcPr>
          <w:p w14:paraId="60BF5B0C" w14:textId="77777777" w:rsidR="00CB5FBB" w:rsidRDefault="00000000">
            <w:pPr>
              <w:ind w:firstLineChars="0" w:firstLine="0"/>
              <w:jc w:val="left"/>
              <w:rPr>
                <w:rFonts w:ascii="宋体" w:hAnsi="宋体" w:hint="eastAsia"/>
                <w:color w:val="000000"/>
                <w:kern w:val="0"/>
                <w:sz w:val="24"/>
                <w:szCs w:val="24"/>
              </w:rPr>
            </w:pPr>
            <w:bookmarkStart w:id="0" w:name="OLE_LINK1"/>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bookmarkEnd w:id="0"/>
          </w:p>
        </w:tc>
        <w:tc>
          <w:tcPr>
            <w:tcW w:w="1831" w:type="dxa"/>
            <w:vAlign w:val="bottom"/>
          </w:tcPr>
          <w:p w14:paraId="2814D5B8" w14:textId="77777777" w:rsidR="00CB5FBB" w:rsidRDefault="00000000">
            <w:pPr>
              <w:ind w:firstLineChars="0" w:firstLine="0"/>
              <w:jc w:val="left"/>
              <w:rPr>
                <w:rFonts w:ascii="宋体" w:hAnsi="宋体" w:hint="eastAsia"/>
                <w:color w:val="000000"/>
                <w:kern w:val="0"/>
                <w:sz w:val="24"/>
                <w:szCs w:val="24"/>
              </w:rPr>
            </w:pPr>
            <w:permStart w:id="1560282364" w:edGrp="everyone"/>
            <w:r>
              <w:rPr>
                <w:rFonts w:ascii="宋体" w:hAnsi="宋体" w:hint="eastAsia"/>
                <w:color w:val="000000"/>
                <w:kern w:val="0"/>
                <w:sz w:val="24"/>
                <w:szCs w:val="24"/>
              </w:rPr>
              <w:t>B121</w:t>
            </w:r>
            <w:permEnd w:id="1560282364"/>
          </w:p>
        </w:tc>
      </w:tr>
      <w:tr w:rsidR="00CB5FBB" w14:paraId="59BEED42" w14:textId="77777777">
        <w:trPr>
          <w:trHeight w:val="402"/>
        </w:trPr>
        <w:tc>
          <w:tcPr>
            <w:tcW w:w="1555" w:type="dxa"/>
            <w:vAlign w:val="bottom"/>
          </w:tcPr>
          <w:p w14:paraId="3B49FD77" w14:textId="77777777" w:rsidR="00CB5FBB" w:rsidRDefault="00000000">
            <w:pPr>
              <w:ind w:firstLineChars="0" w:firstLine="0"/>
              <w:jc w:val="left"/>
              <w:rPr>
                <w:rFonts w:ascii="宋体" w:hAnsi="宋体" w:hint="eastAsia"/>
                <w:color w:val="000000"/>
                <w:kern w:val="0"/>
                <w:sz w:val="24"/>
                <w:szCs w:val="24"/>
              </w:rPr>
            </w:pPr>
            <w:r>
              <w:rPr>
                <w:rFonts w:ascii="宋体" w:hAnsi="宋体"/>
                <w:color w:val="000000"/>
                <w:kern w:val="0"/>
                <w:sz w:val="24"/>
                <w:szCs w:val="24"/>
              </w:rPr>
              <w:t>学校代码</w:t>
            </w:r>
            <w:r>
              <w:rPr>
                <w:rFonts w:ascii="宋体" w:hAnsi="宋体" w:hint="eastAsia"/>
                <w:color w:val="000000"/>
                <w:kern w:val="0"/>
                <w:sz w:val="24"/>
                <w:szCs w:val="24"/>
              </w:rPr>
              <w:t>：</w:t>
            </w:r>
          </w:p>
        </w:tc>
        <w:tc>
          <w:tcPr>
            <w:tcW w:w="3685" w:type="dxa"/>
            <w:vAlign w:val="bottom"/>
          </w:tcPr>
          <w:p w14:paraId="208D9599" w14:textId="77777777" w:rsidR="00CB5FBB" w:rsidRDefault="00000000">
            <w:pPr>
              <w:ind w:firstLineChars="0" w:firstLine="0"/>
              <w:jc w:val="left"/>
              <w:rPr>
                <w:rFonts w:ascii="宋体" w:hAnsi="宋体" w:hint="eastAsia"/>
                <w:color w:val="000000"/>
                <w:kern w:val="0"/>
                <w:sz w:val="24"/>
                <w:szCs w:val="24"/>
              </w:rPr>
            </w:pPr>
            <w:permStart w:id="2102674979" w:edGrp="everyone"/>
            <w:r>
              <w:rPr>
                <w:rFonts w:ascii="宋体" w:hAnsi="宋体" w:hint="eastAsia"/>
                <w:color w:val="000000"/>
                <w:kern w:val="0"/>
                <w:sz w:val="24"/>
                <w:szCs w:val="24"/>
              </w:rPr>
              <w:t>B121</w:t>
            </w:r>
            <w:permEnd w:id="2102674979"/>
          </w:p>
        </w:tc>
        <w:tc>
          <w:tcPr>
            <w:tcW w:w="1559" w:type="dxa"/>
            <w:vAlign w:val="bottom"/>
          </w:tcPr>
          <w:p w14:paraId="72B0E07A" w14:textId="77777777" w:rsidR="00CB5FBB" w:rsidRDefault="00000000">
            <w:pPr>
              <w:ind w:firstLineChars="0" w:firstLine="0"/>
              <w:jc w:val="left"/>
              <w:rPr>
                <w:rFonts w:ascii="宋体" w:hAnsi="宋体" w:hint="eastAsia"/>
                <w:color w:val="000000"/>
                <w:kern w:val="0"/>
                <w:sz w:val="24"/>
                <w:szCs w:val="24"/>
              </w:rPr>
            </w:pPr>
            <w:r>
              <w:rPr>
                <w:rFonts w:hint="eastAsia"/>
                <w:color w:val="000000"/>
                <w:kern w:val="0"/>
                <w:sz w:val="24"/>
                <w:szCs w:val="24"/>
              </w:rPr>
              <w:t>秘</w:t>
            </w:r>
            <w:r>
              <w:rPr>
                <w:color w:val="000000"/>
                <w:kern w:val="0"/>
                <w:sz w:val="24"/>
                <w:szCs w:val="24"/>
              </w:rPr>
              <w:t xml:space="preserve">    </w:t>
            </w:r>
            <w:r>
              <w:rPr>
                <w:rFonts w:hint="eastAsia"/>
                <w:color w:val="000000"/>
                <w:kern w:val="0"/>
                <w:sz w:val="24"/>
                <w:szCs w:val="24"/>
              </w:rPr>
              <w:t>级：</w:t>
            </w:r>
          </w:p>
        </w:tc>
        <w:tc>
          <w:tcPr>
            <w:tcW w:w="1831" w:type="dxa"/>
            <w:vAlign w:val="bottom"/>
          </w:tcPr>
          <w:p w14:paraId="06A0969E" w14:textId="77777777" w:rsidR="00CB5FBB" w:rsidRDefault="00000000">
            <w:pPr>
              <w:ind w:firstLineChars="0" w:firstLine="0"/>
              <w:jc w:val="left"/>
              <w:rPr>
                <w:rFonts w:ascii="宋体" w:hAnsi="宋体" w:hint="eastAsia"/>
                <w:color w:val="000000"/>
                <w:kern w:val="0"/>
                <w:sz w:val="24"/>
                <w:szCs w:val="24"/>
              </w:rPr>
            </w:pPr>
            <w:permStart w:id="1780438928" w:edGrp="everyone"/>
            <w:r>
              <w:rPr>
                <w:rFonts w:ascii="宋体" w:hAnsi="宋体" w:hint="eastAsia"/>
                <w:color w:val="000000"/>
                <w:kern w:val="0"/>
                <w:sz w:val="24"/>
                <w:szCs w:val="24"/>
              </w:rPr>
              <w:t>B121</w:t>
            </w:r>
            <w:permEnd w:id="1780438928"/>
          </w:p>
        </w:tc>
      </w:tr>
    </w:tbl>
    <w:p w14:paraId="0CA0F038" w14:textId="77777777" w:rsidR="00CB5FBB" w:rsidRDefault="00CB5FBB">
      <w:pPr>
        <w:spacing w:line="360" w:lineRule="auto"/>
        <w:ind w:firstLineChars="0" w:firstLine="0"/>
        <w:rPr>
          <w:color w:val="000000"/>
          <w:kern w:val="0"/>
          <w:sz w:val="20"/>
          <w:szCs w:val="20"/>
        </w:rPr>
      </w:pPr>
    </w:p>
    <w:p w14:paraId="152C55C2" w14:textId="77777777" w:rsidR="00CB5FBB" w:rsidRDefault="00CB5FBB">
      <w:pPr>
        <w:spacing w:line="360" w:lineRule="auto"/>
        <w:ind w:firstLineChars="0" w:firstLine="0"/>
        <w:rPr>
          <w:color w:val="000000"/>
          <w:kern w:val="0"/>
          <w:sz w:val="20"/>
          <w:szCs w:val="20"/>
        </w:rPr>
      </w:pPr>
    </w:p>
    <w:p w14:paraId="47AEF86B" w14:textId="77777777" w:rsidR="00CB5FBB" w:rsidRDefault="00CB5FBB">
      <w:pPr>
        <w:spacing w:line="360" w:lineRule="auto"/>
        <w:ind w:firstLineChars="0" w:firstLine="0"/>
        <w:rPr>
          <w:color w:val="000000"/>
          <w:kern w:val="0"/>
          <w:sz w:val="20"/>
          <w:szCs w:val="20"/>
        </w:rPr>
      </w:pPr>
    </w:p>
    <w:p w14:paraId="1E7CE9EE" w14:textId="77777777" w:rsidR="00CB5FBB" w:rsidRDefault="00000000">
      <w:pPr>
        <w:adjustRightInd w:val="0"/>
        <w:snapToGrid w:val="0"/>
        <w:spacing w:line="360" w:lineRule="auto"/>
        <w:ind w:firstLineChars="0" w:firstLine="0"/>
        <w:jc w:val="center"/>
        <w:rPr>
          <w:color w:val="000000"/>
        </w:rPr>
      </w:pPr>
      <w:r>
        <w:rPr>
          <w:noProof/>
          <w:color w:val="000000"/>
          <w14:ligatures w14:val="standardContextual"/>
        </w:rPr>
        <w:drawing>
          <wp:inline distT="0" distB="0" distL="0" distR="0" wp14:anchorId="2D6594AE" wp14:editId="2D059FF8">
            <wp:extent cx="2952115" cy="874395"/>
            <wp:effectExtent l="0" t="0" r="635" b="1905"/>
            <wp:docPr id="108592460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924609" name="图片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52450" cy="874800"/>
                    </a:xfrm>
                    <a:prstGeom prst="rect">
                      <a:avLst/>
                    </a:prstGeom>
                  </pic:spPr>
                </pic:pic>
              </a:graphicData>
            </a:graphic>
          </wp:inline>
        </w:drawing>
      </w:r>
      <w:r>
        <w:rPr>
          <w:color w:val="000000"/>
        </w:rPr>
        <w:t xml:space="preserve"> </w:t>
      </w:r>
    </w:p>
    <w:p w14:paraId="392706C2" w14:textId="77777777" w:rsidR="00CB5FBB" w:rsidRDefault="00CB5FBB">
      <w:pPr>
        <w:adjustRightInd w:val="0"/>
        <w:snapToGrid w:val="0"/>
        <w:spacing w:line="360" w:lineRule="auto"/>
        <w:ind w:firstLineChars="0" w:firstLine="0"/>
        <w:jc w:val="center"/>
        <w:rPr>
          <w:color w:val="000000"/>
        </w:rPr>
      </w:pPr>
    </w:p>
    <w:p w14:paraId="6FEF22DE" w14:textId="77777777" w:rsidR="00181423" w:rsidRDefault="00760029">
      <w:pPr>
        <w:spacing w:line="360" w:lineRule="auto"/>
        <w:ind w:firstLineChars="0" w:firstLine="0"/>
        <w:jc w:val="center"/>
        <w:rPr>
          <w:rFonts w:ascii="隶书" w:eastAsia="隶书"/>
          <w:color w:val="000000"/>
          <w:sz w:val="52"/>
          <w:szCs w:val="52"/>
        </w:rPr>
      </w:pPr>
      <w:r>
        <w:rPr>
          <w:rFonts w:ascii="隶书" w:eastAsia="隶书" w:hint="eastAsia"/>
          <w:color w:val="000000"/>
          <w:sz w:val="52"/>
          <w:szCs w:val="52"/>
        </w:rPr>
        <w:t>学术论文综述</w:t>
      </w:r>
    </w:p>
    <w:p w14:paraId="293B1C44" w14:textId="0C4937D2" w:rsidR="00CB5FBB" w:rsidRDefault="00181423">
      <w:pPr>
        <w:spacing w:line="360" w:lineRule="auto"/>
        <w:ind w:firstLineChars="0" w:firstLine="0"/>
        <w:jc w:val="center"/>
        <w:rPr>
          <w:rFonts w:eastAsia="隶书"/>
          <w:color w:val="000000"/>
          <w:sz w:val="52"/>
          <w:szCs w:val="52"/>
        </w:rPr>
      </w:pPr>
      <w:r>
        <w:rPr>
          <w:rFonts w:ascii="隶书" w:eastAsia="隶书" w:hint="eastAsia"/>
          <w:color w:val="000000"/>
          <w:sz w:val="52"/>
          <w:szCs w:val="52"/>
        </w:rPr>
        <w:t>（范例）</w:t>
      </w:r>
    </w:p>
    <w:p w14:paraId="5BB823BC" w14:textId="77777777" w:rsidR="00CB5FBB" w:rsidRDefault="00000000">
      <w:pPr>
        <w:spacing w:line="360" w:lineRule="auto"/>
        <w:ind w:firstLineChars="0" w:firstLine="0"/>
        <w:jc w:val="center"/>
        <w:rPr>
          <w:color w:val="000000"/>
        </w:rPr>
      </w:pPr>
      <w:r>
        <w:rPr>
          <w:color w:val="000000"/>
        </w:rPr>
        <w:t xml:space="preserve"> </w:t>
      </w:r>
    </w:p>
    <w:p w14:paraId="423FC4A1" w14:textId="77777777" w:rsidR="00CB5FBB" w:rsidRDefault="00000000">
      <w:pPr>
        <w:tabs>
          <w:tab w:val="left" w:pos="5103"/>
        </w:tabs>
        <w:spacing w:line="360" w:lineRule="auto"/>
        <w:ind w:firstLineChars="0" w:firstLine="0"/>
        <w:jc w:val="center"/>
        <w:rPr>
          <w:rFonts w:eastAsia="黑体"/>
          <w:bCs/>
          <w:color w:val="000000"/>
          <w:kern w:val="0"/>
          <w:sz w:val="44"/>
          <w:szCs w:val="44"/>
        </w:rPr>
      </w:pPr>
      <w:permStart w:id="1399481746" w:edGrp="everyone"/>
      <w:r>
        <w:rPr>
          <w:rFonts w:eastAsia="黑体"/>
          <w:bCs/>
          <w:color w:val="000000"/>
          <w:kern w:val="0"/>
          <w:sz w:val="44"/>
          <w:szCs w:val="44"/>
        </w:rPr>
        <w:t>NLRP3</w:t>
      </w:r>
      <w:r>
        <w:rPr>
          <w:rFonts w:eastAsia="黑体"/>
          <w:bCs/>
          <w:color w:val="000000"/>
          <w:kern w:val="0"/>
          <w:sz w:val="44"/>
          <w:szCs w:val="44"/>
        </w:rPr>
        <w:t>细胞</w:t>
      </w:r>
      <w:proofErr w:type="gramStart"/>
      <w:r>
        <w:rPr>
          <w:rFonts w:eastAsia="黑体"/>
          <w:bCs/>
          <w:color w:val="000000"/>
          <w:kern w:val="0"/>
          <w:sz w:val="44"/>
          <w:szCs w:val="44"/>
        </w:rPr>
        <w:t>焦亡途径</w:t>
      </w:r>
      <w:proofErr w:type="gramEnd"/>
      <w:r>
        <w:rPr>
          <w:rFonts w:eastAsia="黑体"/>
          <w:bCs/>
          <w:color w:val="000000"/>
          <w:kern w:val="0"/>
          <w:sz w:val="44"/>
          <w:szCs w:val="44"/>
        </w:rPr>
        <w:t>在氟和</w:t>
      </w:r>
      <w:r>
        <w:rPr>
          <w:rFonts w:eastAsia="黑体"/>
          <w:bCs/>
          <w:color w:val="000000"/>
          <w:kern w:val="0"/>
          <w:sz w:val="44"/>
          <w:szCs w:val="44"/>
        </w:rPr>
        <w:t>DEHP</w:t>
      </w:r>
      <w:r>
        <w:rPr>
          <w:rFonts w:eastAsia="黑体"/>
          <w:bCs/>
          <w:color w:val="000000"/>
          <w:kern w:val="0"/>
          <w:sz w:val="44"/>
          <w:szCs w:val="44"/>
        </w:rPr>
        <w:t>联合诱导小鼠血睾屏障损伤中的作用及机制研究</w:t>
      </w:r>
      <w:permEnd w:id="1399481746"/>
    </w:p>
    <w:p w14:paraId="23672C75" w14:textId="4419859A" w:rsidR="00CB5FBB" w:rsidRDefault="00CB5FBB">
      <w:pPr>
        <w:tabs>
          <w:tab w:val="left" w:pos="5103"/>
        </w:tabs>
        <w:spacing w:line="360" w:lineRule="auto"/>
        <w:ind w:firstLineChars="0" w:firstLine="0"/>
        <w:jc w:val="center"/>
        <w:rPr>
          <w:rFonts w:eastAsia="a"/>
          <w:color w:val="000000"/>
          <w:kern w:val="0"/>
          <w:sz w:val="28"/>
          <w:szCs w:val="28"/>
        </w:rPr>
      </w:pPr>
    </w:p>
    <w:p w14:paraId="3ED79990" w14:textId="77777777" w:rsidR="00CB5FBB" w:rsidRDefault="00CB5FBB">
      <w:pPr>
        <w:spacing w:line="360" w:lineRule="auto"/>
        <w:ind w:firstLineChars="0" w:firstLine="0"/>
        <w:rPr>
          <w:color w:val="000000"/>
          <w:kern w:val="0"/>
          <w:sz w:val="28"/>
          <w:szCs w:val="28"/>
        </w:rPr>
      </w:pPr>
    </w:p>
    <w:p w14:paraId="702AEE2B" w14:textId="77777777" w:rsidR="00CB5FBB" w:rsidRDefault="00CB5FBB">
      <w:pPr>
        <w:spacing w:line="360" w:lineRule="auto"/>
        <w:ind w:firstLineChars="0" w:firstLine="0"/>
        <w:rPr>
          <w:color w:val="000000"/>
          <w:kern w:val="0"/>
          <w:sz w:val="28"/>
          <w:szCs w:val="28"/>
        </w:rPr>
      </w:pPr>
    </w:p>
    <w:p w14:paraId="39FFE50D" w14:textId="77777777" w:rsidR="00CB5FBB" w:rsidRDefault="00CB5FBB">
      <w:pPr>
        <w:spacing w:line="360" w:lineRule="auto"/>
        <w:ind w:firstLineChars="0" w:firstLine="0"/>
        <w:rPr>
          <w:color w:val="000000"/>
          <w:kern w:val="0"/>
          <w:sz w:val="20"/>
          <w:szCs w:val="20"/>
        </w:rPr>
      </w:pPr>
    </w:p>
    <w:p w14:paraId="29030043" w14:textId="77777777" w:rsidR="00CB5FBB" w:rsidRDefault="00000000">
      <w:pPr>
        <w:spacing w:line="360" w:lineRule="auto"/>
        <w:ind w:firstLineChars="0" w:firstLine="0"/>
        <w:jc w:val="left"/>
        <w:rPr>
          <w:rFonts w:eastAsia="黑体"/>
          <w:color w:val="000000"/>
          <w:kern w:val="0"/>
          <w:sz w:val="28"/>
          <w:szCs w:val="28"/>
          <w:u w:val="single"/>
        </w:rPr>
      </w:pPr>
      <w:r>
        <w:rPr>
          <w:rFonts w:ascii="黑体" w:eastAsia="黑体" w:hAnsi="黑体"/>
          <w:color w:val="000000"/>
          <w:kern w:val="0"/>
          <w:sz w:val="28"/>
          <w:szCs w:val="28"/>
        </w:rPr>
        <w:t>作</w:t>
      </w:r>
      <w:r>
        <w:rPr>
          <w:rFonts w:eastAsia="黑体"/>
          <w:color w:val="000000"/>
          <w:kern w:val="0"/>
          <w:sz w:val="28"/>
          <w:szCs w:val="28"/>
        </w:rPr>
        <w:t xml:space="preserve">   </w:t>
      </w:r>
      <w:r>
        <w:rPr>
          <w:rFonts w:eastAsia="黑体"/>
          <w:color w:val="000000"/>
          <w:kern w:val="0"/>
          <w:sz w:val="10"/>
          <w:szCs w:val="10"/>
        </w:rPr>
        <w:t xml:space="preserve"> </w:t>
      </w:r>
      <w:r>
        <w:rPr>
          <w:rFonts w:eastAsia="黑体"/>
          <w:color w:val="000000"/>
          <w:kern w:val="0"/>
          <w:sz w:val="28"/>
          <w:szCs w:val="28"/>
        </w:rPr>
        <w:t xml:space="preserve"> </w:t>
      </w:r>
      <w:r>
        <w:rPr>
          <w:rFonts w:ascii="黑体" w:eastAsia="黑体" w:hAnsi="黑体"/>
          <w:color w:val="000000"/>
          <w:kern w:val="0"/>
          <w:sz w:val="28"/>
          <w:szCs w:val="28"/>
        </w:rPr>
        <w:t>者</w:t>
      </w:r>
      <w:r>
        <w:rPr>
          <w:rFonts w:eastAsia="黑体"/>
          <w:color w:val="000000"/>
          <w:kern w:val="0"/>
          <w:sz w:val="28"/>
          <w:szCs w:val="28"/>
          <w:u w:val="single"/>
        </w:rPr>
        <w:t xml:space="preserve">    </w:t>
      </w:r>
      <w:permStart w:id="2028537608" w:edGrp="everyone"/>
      <w:proofErr w:type="gramStart"/>
      <w:r>
        <w:rPr>
          <w:rFonts w:ascii="黑体" w:eastAsia="黑体" w:hAnsi="黑体" w:hint="eastAsia"/>
          <w:color w:val="000000"/>
          <w:kern w:val="0"/>
          <w:sz w:val="28"/>
          <w:szCs w:val="28"/>
          <w:u w:val="single"/>
        </w:rPr>
        <w:t>王德帅</w:t>
      </w:r>
      <w:permEnd w:id="2028537608"/>
      <w:proofErr w:type="gramEnd"/>
      <w:r>
        <w:rPr>
          <w:rFonts w:eastAsia="黑体"/>
          <w:color w:val="000000"/>
          <w:kern w:val="0"/>
          <w:sz w:val="28"/>
          <w:szCs w:val="28"/>
          <w:u w:val="single"/>
        </w:rPr>
        <w:t xml:space="preserve">    </w:t>
      </w:r>
      <w:r>
        <w:rPr>
          <w:rFonts w:eastAsia="黑体"/>
          <w:color w:val="000000"/>
          <w:kern w:val="0"/>
          <w:sz w:val="10"/>
          <w:szCs w:val="10"/>
          <w:u w:val="single"/>
        </w:rPr>
        <w:t xml:space="preserve"> </w:t>
      </w:r>
      <w:r>
        <w:rPr>
          <w:rFonts w:eastAsia="黑体"/>
          <w:color w:val="000000"/>
          <w:kern w:val="0"/>
          <w:sz w:val="28"/>
          <w:szCs w:val="28"/>
          <w:u w:val="single"/>
        </w:rPr>
        <w:t xml:space="preserve"> </w:t>
      </w:r>
      <w:r>
        <w:rPr>
          <w:rFonts w:eastAsia="黑体"/>
          <w:color w:val="000000"/>
          <w:kern w:val="0"/>
          <w:sz w:val="28"/>
          <w:szCs w:val="28"/>
        </w:rPr>
        <w:t xml:space="preserve">    </w:t>
      </w:r>
      <w:r>
        <w:rPr>
          <w:rFonts w:eastAsia="黑体"/>
          <w:color w:val="000000"/>
          <w:kern w:val="0"/>
          <w:sz w:val="10"/>
          <w:szCs w:val="10"/>
        </w:rPr>
        <w:t xml:space="preserve">  </w:t>
      </w:r>
      <w:r>
        <w:rPr>
          <w:rFonts w:eastAsia="黑体"/>
          <w:color w:val="000000"/>
          <w:kern w:val="0"/>
          <w:sz w:val="28"/>
          <w:szCs w:val="28"/>
        </w:rPr>
        <w:t xml:space="preserve">  </w:t>
      </w:r>
      <w:r>
        <w:rPr>
          <w:rFonts w:eastAsia="黑体"/>
          <w:color w:val="000000"/>
          <w:kern w:val="0"/>
          <w:sz w:val="10"/>
          <w:szCs w:val="10"/>
        </w:rPr>
        <w:t xml:space="preserve">         </w:t>
      </w:r>
      <w:r>
        <w:rPr>
          <w:rFonts w:ascii="黑体" w:eastAsia="黑体" w:hAnsi="黑体"/>
          <w:color w:val="000000"/>
          <w:kern w:val="0"/>
          <w:sz w:val="28"/>
          <w:szCs w:val="28"/>
        </w:rPr>
        <w:t>导</w:t>
      </w:r>
      <w:r>
        <w:rPr>
          <w:rFonts w:eastAsia="黑体"/>
          <w:color w:val="000000"/>
          <w:kern w:val="0"/>
          <w:sz w:val="28"/>
          <w:szCs w:val="28"/>
        </w:rPr>
        <w:t xml:space="preserve">    </w:t>
      </w:r>
      <w:r>
        <w:rPr>
          <w:rFonts w:ascii="黑体" w:eastAsia="黑体" w:hAnsi="黑体"/>
          <w:color w:val="000000"/>
          <w:kern w:val="0"/>
          <w:sz w:val="28"/>
          <w:szCs w:val="28"/>
        </w:rPr>
        <w:t>师</w:t>
      </w:r>
      <w:r>
        <w:rPr>
          <w:rFonts w:eastAsia="黑体"/>
          <w:color w:val="000000"/>
          <w:kern w:val="0"/>
          <w:sz w:val="28"/>
          <w:szCs w:val="28"/>
          <w:u w:val="single"/>
        </w:rPr>
        <w:t xml:space="preserve">    </w:t>
      </w:r>
      <w:r>
        <w:rPr>
          <w:rFonts w:ascii="黑体" w:eastAsia="黑体" w:hAnsi="黑体" w:hint="eastAsia"/>
          <w:color w:val="000000"/>
          <w:kern w:val="0"/>
          <w:sz w:val="28"/>
          <w:szCs w:val="28"/>
          <w:u w:val="single"/>
        </w:rPr>
        <w:t>王浩然</w:t>
      </w:r>
      <w:r>
        <w:rPr>
          <w:rFonts w:eastAsia="黑体" w:hint="eastAsia"/>
          <w:color w:val="000000"/>
          <w:kern w:val="0"/>
          <w:sz w:val="28"/>
          <w:szCs w:val="28"/>
          <w:u w:val="single"/>
        </w:rPr>
        <w:t xml:space="preserve"> </w:t>
      </w:r>
      <w:r>
        <w:rPr>
          <w:rFonts w:eastAsia="黑体" w:hint="eastAsia"/>
          <w:color w:val="000000"/>
          <w:kern w:val="0"/>
          <w:sz w:val="28"/>
          <w:szCs w:val="28"/>
          <w:u w:val="single"/>
        </w:rPr>
        <w:t>副</w:t>
      </w:r>
      <w:r>
        <w:rPr>
          <w:rFonts w:ascii="黑体" w:eastAsia="黑体" w:hAnsi="黑体" w:hint="eastAsia"/>
          <w:color w:val="000000"/>
          <w:kern w:val="0"/>
          <w:sz w:val="28"/>
          <w:szCs w:val="28"/>
          <w:u w:val="single"/>
        </w:rPr>
        <w:t>教授</w:t>
      </w:r>
      <w:r>
        <w:rPr>
          <w:rFonts w:eastAsia="黑体"/>
          <w:color w:val="000000"/>
          <w:kern w:val="0"/>
          <w:sz w:val="28"/>
          <w:szCs w:val="28"/>
          <w:u w:val="single"/>
        </w:rPr>
        <w:t xml:space="preserve">    </w:t>
      </w:r>
    </w:p>
    <w:p w14:paraId="732DCA53" w14:textId="77777777" w:rsidR="00CB5FBB" w:rsidRDefault="00000000">
      <w:pPr>
        <w:spacing w:line="360" w:lineRule="auto"/>
        <w:ind w:firstLineChars="0" w:firstLine="0"/>
        <w:jc w:val="left"/>
        <w:rPr>
          <w:rFonts w:eastAsia="黑体"/>
          <w:color w:val="000000"/>
          <w:kern w:val="0"/>
          <w:sz w:val="28"/>
          <w:szCs w:val="28"/>
        </w:rPr>
      </w:pPr>
      <w:r>
        <w:rPr>
          <w:rFonts w:ascii="黑体" w:eastAsia="黑体" w:hAnsi="黑体"/>
          <w:color w:val="000000"/>
          <w:kern w:val="0"/>
          <w:sz w:val="28"/>
          <w:szCs w:val="28"/>
        </w:rPr>
        <w:t>学位类别</w:t>
      </w:r>
      <w:r>
        <w:rPr>
          <w:rFonts w:eastAsia="黑体"/>
          <w:color w:val="000000"/>
          <w:kern w:val="0"/>
          <w:sz w:val="28"/>
          <w:szCs w:val="28"/>
          <w:u w:val="single"/>
        </w:rPr>
        <w:t xml:space="preserve">    </w:t>
      </w:r>
      <w:r>
        <w:rPr>
          <w:rFonts w:ascii="黑体" w:eastAsia="黑体" w:hAnsi="黑体"/>
          <w:color w:val="000000"/>
          <w:kern w:val="0"/>
          <w:sz w:val="28"/>
          <w:szCs w:val="28"/>
          <w:u w:val="single"/>
        </w:rPr>
        <w:t>农学</w:t>
      </w:r>
      <w:r>
        <w:rPr>
          <w:rFonts w:ascii="黑体" w:eastAsia="黑体" w:hAnsi="黑体" w:hint="eastAsia"/>
          <w:color w:val="000000"/>
          <w:kern w:val="0"/>
          <w:sz w:val="28"/>
          <w:szCs w:val="28"/>
          <w:u w:val="single"/>
        </w:rPr>
        <w:t>硕士</w:t>
      </w:r>
      <w:r>
        <w:rPr>
          <w:rFonts w:eastAsia="黑体"/>
          <w:color w:val="000000"/>
          <w:kern w:val="0"/>
          <w:sz w:val="28"/>
          <w:szCs w:val="28"/>
          <w:u w:val="single"/>
        </w:rPr>
        <w:t xml:space="preserve">    </w:t>
      </w:r>
      <w:r>
        <w:rPr>
          <w:rFonts w:eastAsia="黑体"/>
          <w:color w:val="000000"/>
          <w:kern w:val="0"/>
          <w:sz w:val="28"/>
          <w:szCs w:val="28"/>
        </w:rPr>
        <w:t xml:space="preserve">          </w:t>
      </w:r>
      <w:r>
        <w:rPr>
          <w:rFonts w:ascii="黑体" w:eastAsia="黑体" w:hAnsi="黑体"/>
          <w:color w:val="000000"/>
          <w:kern w:val="0"/>
          <w:sz w:val="28"/>
          <w:szCs w:val="28"/>
        </w:rPr>
        <w:t>所在学院</w:t>
      </w:r>
      <w:r>
        <w:rPr>
          <w:rFonts w:eastAsia="黑体"/>
          <w:color w:val="000000"/>
          <w:kern w:val="0"/>
          <w:sz w:val="28"/>
          <w:szCs w:val="28"/>
          <w:u w:val="single"/>
        </w:rPr>
        <w:t xml:space="preserve">    </w:t>
      </w:r>
      <w:r>
        <w:rPr>
          <w:rFonts w:ascii="黑体" w:eastAsia="黑体" w:hAnsi="黑体"/>
          <w:color w:val="000000"/>
          <w:kern w:val="0"/>
          <w:sz w:val="28"/>
          <w:szCs w:val="28"/>
          <w:u w:val="single"/>
        </w:rPr>
        <w:t>动物</w:t>
      </w:r>
      <w:r>
        <w:rPr>
          <w:rFonts w:ascii="黑体" w:eastAsia="黑体" w:hAnsi="黑体" w:hint="eastAsia"/>
          <w:color w:val="000000"/>
          <w:kern w:val="0"/>
          <w:sz w:val="28"/>
          <w:szCs w:val="28"/>
          <w:u w:val="single"/>
        </w:rPr>
        <w:t>科技</w:t>
      </w:r>
      <w:r>
        <w:rPr>
          <w:rFonts w:ascii="黑体" w:eastAsia="黑体" w:hAnsi="黑体"/>
          <w:color w:val="000000"/>
          <w:kern w:val="0"/>
          <w:sz w:val="28"/>
          <w:szCs w:val="28"/>
          <w:u w:val="single"/>
        </w:rPr>
        <w:t>学院</w:t>
      </w:r>
      <w:r>
        <w:rPr>
          <w:rFonts w:eastAsia="黑体"/>
          <w:color w:val="000000"/>
          <w:kern w:val="0"/>
          <w:sz w:val="28"/>
          <w:szCs w:val="28"/>
          <w:u w:val="single"/>
        </w:rPr>
        <w:t xml:space="preserve">   </w:t>
      </w:r>
    </w:p>
    <w:p w14:paraId="3EB7D700" w14:textId="77777777" w:rsidR="00CB5FBB" w:rsidRDefault="00000000">
      <w:pPr>
        <w:spacing w:line="360" w:lineRule="auto"/>
        <w:ind w:firstLineChars="0" w:firstLine="0"/>
        <w:jc w:val="left"/>
        <w:rPr>
          <w:rFonts w:eastAsia="黑体"/>
          <w:color w:val="000000"/>
          <w:kern w:val="0"/>
          <w:sz w:val="28"/>
          <w:szCs w:val="28"/>
          <w:u w:val="single"/>
        </w:rPr>
      </w:pPr>
      <w:r>
        <w:rPr>
          <w:rFonts w:ascii="黑体" w:eastAsia="黑体" w:hAnsi="黑体"/>
          <w:color w:val="000000"/>
          <w:kern w:val="0"/>
          <w:sz w:val="28"/>
          <w:szCs w:val="28"/>
        </w:rPr>
        <w:t>一级学科</w:t>
      </w:r>
      <w:r>
        <w:rPr>
          <w:rFonts w:eastAsia="黑体"/>
          <w:color w:val="000000"/>
          <w:kern w:val="0"/>
          <w:sz w:val="28"/>
          <w:szCs w:val="28"/>
          <w:u w:val="single"/>
        </w:rPr>
        <w:t xml:space="preserve">    </w:t>
      </w:r>
      <w:r>
        <w:rPr>
          <w:rFonts w:ascii="黑体" w:eastAsia="黑体" w:hAnsi="黑体"/>
          <w:color w:val="000000"/>
          <w:kern w:val="0"/>
          <w:sz w:val="28"/>
          <w:szCs w:val="28"/>
          <w:u w:val="single"/>
        </w:rPr>
        <w:t>兽医学</w:t>
      </w:r>
      <w:r>
        <w:rPr>
          <w:rFonts w:eastAsia="黑体"/>
          <w:color w:val="000000"/>
          <w:kern w:val="0"/>
          <w:sz w:val="28"/>
          <w:szCs w:val="28"/>
          <w:u w:val="single"/>
        </w:rPr>
        <w:t xml:space="preserve">      </w:t>
      </w:r>
      <w:r>
        <w:rPr>
          <w:rFonts w:eastAsia="黑体"/>
          <w:color w:val="000000"/>
          <w:kern w:val="0"/>
          <w:sz w:val="28"/>
          <w:szCs w:val="28"/>
        </w:rPr>
        <w:t xml:space="preserve">          </w:t>
      </w:r>
      <w:r>
        <w:rPr>
          <w:rFonts w:ascii="黑体" w:eastAsia="黑体" w:hAnsi="黑体"/>
          <w:color w:val="000000"/>
          <w:kern w:val="0"/>
          <w:sz w:val="28"/>
          <w:szCs w:val="28"/>
        </w:rPr>
        <w:t>二级学科</w:t>
      </w:r>
      <w:r>
        <w:rPr>
          <w:rFonts w:eastAsia="黑体"/>
          <w:color w:val="000000"/>
          <w:kern w:val="0"/>
          <w:sz w:val="28"/>
          <w:szCs w:val="28"/>
          <w:u w:val="single"/>
        </w:rPr>
        <w:t xml:space="preserve">    </w:t>
      </w:r>
      <w:r>
        <w:rPr>
          <w:rFonts w:ascii="黑体" w:eastAsia="黑体" w:hAnsi="黑体"/>
          <w:color w:val="000000"/>
          <w:kern w:val="0"/>
          <w:sz w:val="28"/>
          <w:szCs w:val="28"/>
          <w:u w:val="single"/>
        </w:rPr>
        <w:t>临床兽医学</w:t>
      </w:r>
      <w:r>
        <w:rPr>
          <w:rFonts w:eastAsia="黑体"/>
          <w:color w:val="000000"/>
          <w:kern w:val="0"/>
          <w:sz w:val="28"/>
          <w:szCs w:val="28"/>
          <w:u w:val="single"/>
        </w:rPr>
        <w:t xml:space="preserve">     </w:t>
      </w:r>
    </w:p>
    <w:p w14:paraId="0BDE45D8" w14:textId="77777777" w:rsidR="00CB5FBB" w:rsidRDefault="00CB5FBB">
      <w:pPr>
        <w:adjustRightInd w:val="0"/>
        <w:spacing w:line="360" w:lineRule="auto"/>
        <w:ind w:left="189" w:firstLineChars="50" w:firstLine="100"/>
        <w:jc w:val="center"/>
        <w:rPr>
          <w:rFonts w:eastAsia="黑体"/>
          <w:color w:val="000000"/>
          <w:kern w:val="0"/>
          <w:sz w:val="20"/>
          <w:szCs w:val="20"/>
          <w:u w:val="single"/>
        </w:rPr>
      </w:pPr>
    </w:p>
    <w:p w14:paraId="543392A0" w14:textId="77777777" w:rsidR="00181423" w:rsidRDefault="00181423">
      <w:pPr>
        <w:adjustRightInd w:val="0"/>
        <w:spacing w:line="360" w:lineRule="auto"/>
        <w:ind w:left="189" w:firstLineChars="50" w:firstLine="100"/>
        <w:jc w:val="center"/>
        <w:rPr>
          <w:rFonts w:eastAsia="黑体" w:hint="eastAsia"/>
          <w:color w:val="000000"/>
          <w:kern w:val="0"/>
          <w:sz w:val="20"/>
          <w:szCs w:val="20"/>
          <w:u w:val="single"/>
        </w:rPr>
      </w:pPr>
    </w:p>
    <w:p w14:paraId="1C34E2DD" w14:textId="7AB9D652" w:rsidR="00DF4A88" w:rsidRDefault="00000000" w:rsidP="00DF4A88">
      <w:pPr>
        <w:adjustRightInd w:val="0"/>
        <w:spacing w:line="360" w:lineRule="auto"/>
        <w:ind w:firstLineChars="0" w:firstLine="0"/>
        <w:jc w:val="center"/>
        <w:rPr>
          <w:rFonts w:ascii="黑体" w:eastAsia="黑体" w:hAnsi="黑体" w:hint="eastAsia"/>
          <w:color w:val="000000"/>
          <w:kern w:val="0"/>
          <w:sz w:val="28"/>
          <w:szCs w:val="28"/>
        </w:rPr>
      </w:pPr>
      <w:r>
        <w:rPr>
          <w:rFonts w:ascii="黑体" w:eastAsia="黑体" w:hAnsi="黑体"/>
          <w:color w:val="000000"/>
          <w:kern w:val="0"/>
          <w:sz w:val="28"/>
          <w:szCs w:val="28"/>
        </w:rPr>
        <w:t>二〇二</w:t>
      </w:r>
      <w:permStart w:id="2126739343" w:edGrp="everyone"/>
      <w:r>
        <w:rPr>
          <w:rFonts w:ascii="黑体" w:eastAsia="黑体" w:hAnsi="黑体" w:hint="eastAsia"/>
          <w:color w:val="000000"/>
          <w:kern w:val="0"/>
          <w:sz w:val="28"/>
          <w:szCs w:val="28"/>
        </w:rPr>
        <w:t>六</w:t>
      </w:r>
      <w:permEnd w:id="2126739343"/>
      <w:r>
        <w:rPr>
          <w:rFonts w:ascii="黑体" w:eastAsia="黑体" w:hAnsi="黑体"/>
          <w:color w:val="000000"/>
          <w:kern w:val="0"/>
          <w:sz w:val="28"/>
          <w:szCs w:val="28"/>
        </w:rPr>
        <w:t>年</w:t>
      </w:r>
      <w:permStart w:id="824462628" w:edGrp="everyone"/>
      <w:r>
        <w:rPr>
          <w:rFonts w:ascii="黑体" w:eastAsia="黑体" w:hAnsi="黑体" w:hint="eastAsia"/>
          <w:color w:val="000000"/>
          <w:kern w:val="0"/>
          <w:sz w:val="28"/>
          <w:szCs w:val="28"/>
        </w:rPr>
        <w:t>四</w:t>
      </w:r>
      <w:permEnd w:id="824462628"/>
      <w:r>
        <w:rPr>
          <w:rFonts w:ascii="黑体" w:eastAsia="黑体" w:hAnsi="黑体"/>
          <w:color w:val="000000"/>
          <w:kern w:val="0"/>
          <w:sz w:val="28"/>
          <w:szCs w:val="28"/>
        </w:rPr>
        <w:t>月</w:t>
      </w:r>
      <w:r w:rsidR="00DF4A88">
        <w:rPr>
          <w:rFonts w:ascii="黑体" w:eastAsia="黑体" w:hAnsi="黑体" w:hint="eastAsia"/>
          <w:color w:val="000000"/>
          <w:kern w:val="0"/>
          <w:sz w:val="28"/>
          <w:szCs w:val="28"/>
        </w:rPr>
        <w:br w:type="page"/>
      </w:r>
    </w:p>
    <w:p w14:paraId="454049C2" w14:textId="77777777" w:rsidR="00D579CD" w:rsidRDefault="00D579CD">
      <w:pPr>
        <w:widowControl/>
        <w:spacing w:line="240" w:lineRule="auto"/>
        <w:ind w:firstLineChars="0" w:firstLine="0"/>
        <w:jc w:val="left"/>
        <w:sectPr w:rsidR="00D579CD">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cols w:space="425"/>
          <w:docGrid w:type="lines" w:linePitch="312"/>
        </w:sectPr>
      </w:pPr>
    </w:p>
    <w:p w14:paraId="0B644F9E" w14:textId="0E4CD046" w:rsidR="00CB5FBB" w:rsidRDefault="00760029" w:rsidP="0014222D">
      <w:pPr>
        <w:pStyle w:val="afc"/>
        <w:outlineLvl w:val="9"/>
      </w:pPr>
      <w:permStart w:id="556339361" w:edGrp="everyone"/>
      <w:r>
        <w:rPr>
          <w:rFonts w:hint="eastAsia"/>
        </w:rPr>
        <w:lastRenderedPageBreak/>
        <w:t>目</w:t>
      </w:r>
      <w:r>
        <w:rPr>
          <w:rFonts w:hint="eastAsia"/>
        </w:rPr>
        <w:t xml:space="preserve"> </w:t>
      </w:r>
      <w:r>
        <w:rPr>
          <w:rFonts w:hint="eastAsia"/>
        </w:rPr>
        <w:t>录</w:t>
      </w:r>
    </w:p>
    <w:sdt>
      <w:sdtPr>
        <w:rPr>
          <w:rFonts w:ascii="Times New Roman" w:eastAsia="宋体" w:hAnsi="Times New Roman" w:cs="Times New Roman"/>
          <w:color w:val="auto"/>
          <w:kern w:val="2"/>
          <w:sz w:val="21"/>
          <w:szCs w:val="21"/>
          <w:lang w:val="zh-CN"/>
        </w:rPr>
        <w:id w:val="16134896"/>
        <w:docPartObj>
          <w:docPartGallery w:val="Table of Contents"/>
          <w:docPartUnique/>
        </w:docPartObj>
      </w:sdtPr>
      <w:sdtEndPr>
        <w:rPr>
          <w:b/>
          <w:bCs/>
        </w:rPr>
      </w:sdtEndPr>
      <w:sdtContent>
        <w:p w14:paraId="224F2542" w14:textId="77777777" w:rsidR="00CB5FBB" w:rsidRDefault="00CB5FBB">
          <w:pPr>
            <w:pStyle w:val="TOC11"/>
            <w:rPr>
              <w:rFonts w:hint="eastAsia"/>
            </w:rPr>
          </w:pPr>
        </w:p>
        <w:p w14:paraId="789C8106" w14:textId="4F8E6DA9" w:rsidR="0014222D" w:rsidRDefault="00000000">
          <w:pPr>
            <w:pStyle w:val="TOC1"/>
            <w:tabs>
              <w:tab w:val="right" w:leader="dot" w:pos="8296"/>
            </w:tabs>
            <w:rPr>
              <w:rFonts w:cstheme="minorBidi" w:hint="eastAsia"/>
              <w:noProof/>
              <w:kern w:val="2"/>
              <w:szCs w:val="24"/>
              <w14:ligatures w14:val="standardContextual"/>
            </w:rPr>
          </w:pPr>
          <w:r>
            <w:rPr>
              <w:rFonts w:eastAsia="黑体"/>
              <w:sz w:val="24"/>
              <w:szCs w:val="24"/>
            </w:rPr>
            <w:fldChar w:fldCharType="begin"/>
          </w:r>
          <w:r>
            <w:instrText xml:space="preserve"> TOC \o "1-3" \h \z \u </w:instrText>
          </w:r>
          <w:r>
            <w:rPr>
              <w:rFonts w:eastAsia="黑体"/>
              <w:sz w:val="24"/>
              <w:szCs w:val="24"/>
            </w:rPr>
            <w:fldChar w:fldCharType="separate"/>
          </w:r>
          <w:hyperlink w:anchor="_Toc232419399" w:history="1">
            <w:r w:rsidR="0014222D" w:rsidRPr="00792994">
              <w:rPr>
                <w:rStyle w:val="ae"/>
                <w:rFonts w:hint="eastAsia"/>
                <w:noProof/>
              </w:rPr>
              <w:t>使用说明</w:t>
            </w:r>
            <w:r w:rsidR="0014222D">
              <w:rPr>
                <w:rFonts w:hint="eastAsia"/>
                <w:noProof/>
                <w:webHidden/>
              </w:rPr>
              <w:tab/>
            </w:r>
            <w:r w:rsidR="0014222D">
              <w:rPr>
                <w:rFonts w:hint="eastAsia"/>
                <w:noProof/>
                <w:webHidden/>
              </w:rPr>
              <w:fldChar w:fldCharType="begin"/>
            </w:r>
            <w:r w:rsidR="0014222D">
              <w:rPr>
                <w:rFonts w:hint="eastAsia"/>
                <w:noProof/>
                <w:webHidden/>
              </w:rPr>
              <w:instrText xml:space="preserve"> </w:instrText>
            </w:r>
            <w:r w:rsidR="0014222D">
              <w:rPr>
                <w:noProof/>
                <w:webHidden/>
              </w:rPr>
              <w:instrText>PAGEREF _Toc232419399 \h</w:instrText>
            </w:r>
            <w:r w:rsidR="0014222D">
              <w:rPr>
                <w:rFonts w:hint="eastAsia"/>
                <w:noProof/>
                <w:webHidden/>
              </w:rPr>
              <w:instrText xml:space="preserve"> </w:instrText>
            </w:r>
            <w:r w:rsidR="0014222D">
              <w:rPr>
                <w:rFonts w:hint="eastAsia"/>
                <w:noProof/>
                <w:webHidden/>
              </w:rPr>
            </w:r>
            <w:r w:rsidR="0014222D">
              <w:rPr>
                <w:rFonts w:hint="eastAsia"/>
                <w:noProof/>
                <w:webHidden/>
              </w:rPr>
              <w:fldChar w:fldCharType="separate"/>
            </w:r>
            <w:r w:rsidR="00920E75">
              <w:rPr>
                <w:rFonts w:hint="eastAsia"/>
                <w:noProof/>
                <w:webHidden/>
              </w:rPr>
              <w:t>2</w:t>
            </w:r>
            <w:r w:rsidR="0014222D">
              <w:rPr>
                <w:rFonts w:hint="eastAsia"/>
                <w:noProof/>
                <w:webHidden/>
              </w:rPr>
              <w:fldChar w:fldCharType="end"/>
            </w:r>
          </w:hyperlink>
        </w:p>
        <w:p w14:paraId="270EC110" w14:textId="784DDCF0" w:rsidR="0014222D" w:rsidRDefault="0014222D">
          <w:pPr>
            <w:pStyle w:val="TOC1"/>
            <w:tabs>
              <w:tab w:val="right" w:leader="dot" w:pos="8296"/>
            </w:tabs>
            <w:rPr>
              <w:rFonts w:cstheme="minorBidi" w:hint="eastAsia"/>
              <w:noProof/>
              <w:kern w:val="2"/>
              <w:szCs w:val="24"/>
              <w14:ligatures w14:val="standardContextual"/>
            </w:rPr>
          </w:pPr>
          <w:hyperlink w:anchor="_Toc232419400" w:history="1">
            <w:r w:rsidRPr="00792994">
              <w:rPr>
                <w:rStyle w:val="ae"/>
                <w:rFonts w:hint="eastAsia"/>
                <w:noProof/>
              </w:rPr>
              <w:t>中文摘要</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_Toc232419400 \h</w:instrText>
            </w:r>
            <w:r>
              <w:rPr>
                <w:rFonts w:hint="eastAsia"/>
                <w:noProof/>
                <w:webHidden/>
              </w:rPr>
              <w:instrText xml:space="preserve"> </w:instrText>
            </w:r>
            <w:r>
              <w:rPr>
                <w:rFonts w:hint="eastAsia"/>
                <w:noProof/>
                <w:webHidden/>
              </w:rPr>
            </w:r>
            <w:r>
              <w:rPr>
                <w:rFonts w:hint="eastAsia"/>
                <w:noProof/>
                <w:webHidden/>
              </w:rPr>
              <w:fldChar w:fldCharType="separate"/>
            </w:r>
            <w:r w:rsidR="00920E75">
              <w:rPr>
                <w:rFonts w:hint="eastAsia"/>
                <w:noProof/>
                <w:webHidden/>
              </w:rPr>
              <w:t>4</w:t>
            </w:r>
            <w:r>
              <w:rPr>
                <w:rFonts w:hint="eastAsia"/>
                <w:noProof/>
                <w:webHidden/>
              </w:rPr>
              <w:fldChar w:fldCharType="end"/>
            </w:r>
          </w:hyperlink>
        </w:p>
        <w:p w14:paraId="7C113C47" w14:textId="543D0F29" w:rsidR="0014222D" w:rsidRDefault="0014222D">
          <w:pPr>
            <w:pStyle w:val="TOC1"/>
            <w:tabs>
              <w:tab w:val="right" w:leader="dot" w:pos="8296"/>
            </w:tabs>
            <w:rPr>
              <w:rFonts w:cstheme="minorBidi" w:hint="eastAsia"/>
              <w:noProof/>
              <w:kern w:val="2"/>
              <w:szCs w:val="24"/>
              <w14:ligatures w14:val="standardContextual"/>
            </w:rPr>
          </w:pPr>
          <w:hyperlink w:anchor="_Toc232419401" w:history="1">
            <w:r w:rsidRPr="00792994">
              <w:rPr>
                <w:rStyle w:val="ae"/>
                <w:rFonts w:hint="eastAsia"/>
                <w:noProof/>
              </w:rPr>
              <w:t>1 前 言</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_Toc232419401 \h</w:instrText>
            </w:r>
            <w:r>
              <w:rPr>
                <w:rFonts w:hint="eastAsia"/>
                <w:noProof/>
                <w:webHidden/>
              </w:rPr>
              <w:instrText xml:space="preserve"> </w:instrText>
            </w:r>
            <w:r>
              <w:rPr>
                <w:rFonts w:hint="eastAsia"/>
                <w:noProof/>
                <w:webHidden/>
              </w:rPr>
            </w:r>
            <w:r>
              <w:rPr>
                <w:rFonts w:hint="eastAsia"/>
                <w:noProof/>
                <w:webHidden/>
              </w:rPr>
              <w:fldChar w:fldCharType="separate"/>
            </w:r>
            <w:r w:rsidR="00920E75">
              <w:rPr>
                <w:rFonts w:hint="eastAsia"/>
                <w:noProof/>
                <w:webHidden/>
              </w:rPr>
              <w:t>5</w:t>
            </w:r>
            <w:r>
              <w:rPr>
                <w:rFonts w:hint="eastAsia"/>
                <w:noProof/>
                <w:webHidden/>
              </w:rPr>
              <w:fldChar w:fldCharType="end"/>
            </w:r>
          </w:hyperlink>
        </w:p>
        <w:p w14:paraId="3C427C36" w14:textId="2EEEC6A1" w:rsidR="0014222D" w:rsidRDefault="0014222D">
          <w:pPr>
            <w:pStyle w:val="TOC2"/>
            <w:tabs>
              <w:tab w:val="right" w:leader="dot" w:pos="8296"/>
            </w:tabs>
            <w:rPr>
              <w:rFonts w:cstheme="minorBidi" w:hint="eastAsia"/>
              <w:noProof/>
              <w:kern w:val="2"/>
              <w:szCs w:val="24"/>
              <w14:ligatures w14:val="standardContextual"/>
            </w:rPr>
          </w:pPr>
          <w:hyperlink w:anchor="_Toc232419402" w:history="1">
            <w:r w:rsidRPr="00792994">
              <w:rPr>
                <w:rStyle w:val="ae"/>
                <w:rFonts w:hint="eastAsia"/>
                <w:noProof/>
              </w:rPr>
              <w:t>1.1 铝的神经毒性作用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_Toc232419402 \h</w:instrText>
            </w:r>
            <w:r>
              <w:rPr>
                <w:rFonts w:hint="eastAsia"/>
                <w:noProof/>
                <w:webHidden/>
              </w:rPr>
              <w:instrText xml:space="preserve"> </w:instrText>
            </w:r>
            <w:r>
              <w:rPr>
                <w:rFonts w:hint="eastAsia"/>
                <w:noProof/>
                <w:webHidden/>
              </w:rPr>
            </w:r>
            <w:r>
              <w:rPr>
                <w:rFonts w:hint="eastAsia"/>
                <w:noProof/>
                <w:webHidden/>
              </w:rPr>
              <w:fldChar w:fldCharType="separate"/>
            </w:r>
            <w:r w:rsidR="00920E75">
              <w:rPr>
                <w:rFonts w:hint="eastAsia"/>
                <w:noProof/>
                <w:webHidden/>
              </w:rPr>
              <w:t>7</w:t>
            </w:r>
            <w:r>
              <w:rPr>
                <w:rFonts w:hint="eastAsia"/>
                <w:noProof/>
                <w:webHidden/>
              </w:rPr>
              <w:fldChar w:fldCharType="end"/>
            </w:r>
          </w:hyperlink>
        </w:p>
        <w:p w14:paraId="5DA3E660" w14:textId="4F295D40" w:rsidR="0014222D" w:rsidRDefault="0014222D">
          <w:pPr>
            <w:pStyle w:val="TOC2"/>
            <w:tabs>
              <w:tab w:val="right" w:leader="dot" w:pos="8296"/>
            </w:tabs>
            <w:rPr>
              <w:rFonts w:cstheme="minorBidi" w:hint="eastAsia"/>
              <w:noProof/>
              <w:kern w:val="2"/>
              <w:szCs w:val="24"/>
              <w14:ligatures w14:val="standardContextual"/>
            </w:rPr>
          </w:pPr>
          <w:hyperlink w:anchor="_Toc232419403" w:history="1">
            <w:r w:rsidRPr="00792994">
              <w:rPr>
                <w:rStyle w:val="ae"/>
                <w:rFonts w:hint="eastAsia"/>
                <w:noProof/>
              </w:rPr>
              <w:t>1.2 铝与氧化损伤</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_Toc232419403 \h</w:instrText>
            </w:r>
            <w:r>
              <w:rPr>
                <w:rFonts w:hint="eastAsia"/>
                <w:noProof/>
                <w:webHidden/>
              </w:rPr>
              <w:instrText xml:space="preserve"> </w:instrText>
            </w:r>
            <w:r>
              <w:rPr>
                <w:rFonts w:hint="eastAsia"/>
                <w:noProof/>
                <w:webHidden/>
              </w:rPr>
            </w:r>
            <w:r>
              <w:rPr>
                <w:rFonts w:hint="eastAsia"/>
                <w:noProof/>
                <w:webHidden/>
              </w:rPr>
              <w:fldChar w:fldCharType="separate"/>
            </w:r>
            <w:r w:rsidR="00920E75">
              <w:rPr>
                <w:rFonts w:hint="eastAsia"/>
                <w:noProof/>
                <w:webHidden/>
              </w:rPr>
              <w:t>7</w:t>
            </w:r>
            <w:r>
              <w:rPr>
                <w:rFonts w:hint="eastAsia"/>
                <w:noProof/>
                <w:webHidden/>
              </w:rPr>
              <w:fldChar w:fldCharType="end"/>
            </w:r>
          </w:hyperlink>
        </w:p>
        <w:p w14:paraId="73C9EB01" w14:textId="5A31C0C3" w:rsidR="0014222D" w:rsidRDefault="0014222D">
          <w:pPr>
            <w:pStyle w:val="TOC2"/>
            <w:tabs>
              <w:tab w:val="right" w:leader="dot" w:pos="8296"/>
            </w:tabs>
            <w:rPr>
              <w:rFonts w:cstheme="minorBidi" w:hint="eastAsia"/>
              <w:noProof/>
              <w:kern w:val="2"/>
              <w:szCs w:val="24"/>
              <w14:ligatures w14:val="standardContextual"/>
            </w:rPr>
          </w:pPr>
          <w:hyperlink w:anchor="_Toc232419404" w:history="1">
            <w:r w:rsidRPr="00792994">
              <w:rPr>
                <w:rStyle w:val="ae"/>
                <w:rFonts w:hint="eastAsia"/>
                <w:noProof/>
              </w:rPr>
              <w:t>1.1 二级标题（模板样式）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_Toc232419404 \h</w:instrText>
            </w:r>
            <w:r>
              <w:rPr>
                <w:rFonts w:hint="eastAsia"/>
                <w:noProof/>
                <w:webHidden/>
              </w:rPr>
              <w:instrText xml:space="preserve"> </w:instrText>
            </w:r>
            <w:r>
              <w:rPr>
                <w:rFonts w:hint="eastAsia"/>
                <w:noProof/>
                <w:webHidden/>
              </w:rPr>
            </w:r>
            <w:r>
              <w:rPr>
                <w:rFonts w:hint="eastAsia"/>
                <w:noProof/>
                <w:webHidden/>
              </w:rPr>
              <w:fldChar w:fldCharType="separate"/>
            </w:r>
            <w:r w:rsidR="00920E75">
              <w:rPr>
                <w:rFonts w:hint="eastAsia"/>
                <w:noProof/>
                <w:webHidden/>
              </w:rPr>
              <w:t>8</w:t>
            </w:r>
            <w:r>
              <w:rPr>
                <w:rFonts w:hint="eastAsia"/>
                <w:noProof/>
                <w:webHidden/>
              </w:rPr>
              <w:fldChar w:fldCharType="end"/>
            </w:r>
          </w:hyperlink>
        </w:p>
        <w:p w14:paraId="2449886A" w14:textId="035E60B0" w:rsidR="0014222D" w:rsidRDefault="0014222D">
          <w:pPr>
            <w:pStyle w:val="TOC3"/>
            <w:tabs>
              <w:tab w:val="right" w:leader="dot" w:pos="8296"/>
            </w:tabs>
            <w:rPr>
              <w:rFonts w:cstheme="minorBidi" w:hint="eastAsia"/>
              <w:noProof/>
              <w:kern w:val="2"/>
              <w:szCs w:val="24"/>
              <w14:ligatures w14:val="standardContextual"/>
            </w:rPr>
          </w:pPr>
          <w:hyperlink w:anchor="_Toc232419405" w:history="1">
            <w:r w:rsidRPr="00792994">
              <w:rPr>
                <w:rStyle w:val="ae"/>
                <w:rFonts w:hint="eastAsia"/>
                <w:noProof/>
              </w:rPr>
              <w:t>1.1.1 三级标题（模板样式）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_Toc232419405 \h</w:instrText>
            </w:r>
            <w:r>
              <w:rPr>
                <w:rFonts w:hint="eastAsia"/>
                <w:noProof/>
                <w:webHidden/>
              </w:rPr>
              <w:instrText xml:space="preserve"> </w:instrText>
            </w:r>
            <w:r>
              <w:rPr>
                <w:rFonts w:hint="eastAsia"/>
                <w:noProof/>
                <w:webHidden/>
              </w:rPr>
            </w:r>
            <w:r>
              <w:rPr>
                <w:rFonts w:hint="eastAsia"/>
                <w:noProof/>
                <w:webHidden/>
              </w:rPr>
              <w:fldChar w:fldCharType="separate"/>
            </w:r>
            <w:r w:rsidR="00920E75">
              <w:rPr>
                <w:rFonts w:hint="eastAsia"/>
                <w:noProof/>
                <w:webHidden/>
              </w:rPr>
              <w:t>8</w:t>
            </w:r>
            <w:r>
              <w:rPr>
                <w:rFonts w:hint="eastAsia"/>
                <w:noProof/>
                <w:webHidden/>
              </w:rPr>
              <w:fldChar w:fldCharType="end"/>
            </w:r>
          </w:hyperlink>
        </w:p>
        <w:p w14:paraId="34031882" w14:textId="37593856" w:rsidR="0014222D" w:rsidRDefault="0014222D">
          <w:pPr>
            <w:pStyle w:val="TOC1"/>
            <w:tabs>
              <w:tab w:val="right" w:leader="dot" w:pos="8296"/>
            </w:tabs>
            <w:rPr>
              <w:rFonts w:cstheme="minorBidi" w:hint="eastAsia"/>
              <w:noProof/>
              <w:kern w:val="2"/>
              <w:szCs w:val="24"/>
              <w14:ligatures w14:val="standardContextual"/>
            </w:rPr>
          </w:pPr>
          <w:hyperlink w:anchor="_Toc232419406" w:history="1">
            <w:r w:rsidRPr="00792994">
              <w:rPr>
                <w:rStyle w:val="ae"/>
                <w:rFonts w:hint="eastAsia"/>
                <w:noProof/>
              </w:rPr>
              <w:t>2 材料与方法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_Toc232419406 \h</w:instrText>
            </w:r>
            <w:r>
              <w:rPr>
                <w:rFonts w:hint="eastAsia"/>
                <w:noProof/>
                <w:webHidden/>
              </w:rPr>
              <w:instrText xml:space="preserve"> </w:instrText>
            </w:r>
            <w:r>
              <w:rPr>
                <w:rFonts w:hint="eastAsia"/>
                <w:noProof/>
                <w:webHidden/>
              </w:rPr>
            </w:r>
            <w:r>
              <w:rPr>
                <w:rFonts w:hint="eastAsia"/>
                <w:noProof/>
                <w:webHidden/>
              </w:rPr>
              <w:fldChar w:fldCharType="separate"/>
            </w:r>
            <w:r w:rsidR="00920E75">
              <w:rPr>
                <w:rFonts w:hint="eastAsia"/>
                <w:noProof/>
                <w:webHidden/>
              </w:rPr>
              <w:t>9</w:t>
            </w:r>
            <w:r>
              <w:rPr>
                <w:rFonts w:hint="eastAsia"/>
                <w:noProof/>
                <w:webHidden/>
              </w:rPr>
              <w:fldChar w:fldCharType="end"/>
            </w:r>
          </w:hyperlink>
        </w:p>
        <w:p w14:paraId="75D0106F" w14:textId="5EB4B121" w:rsidR="0014222D" w:rsidRDefault="0014222D">
          <w:pPr>
            <w:pStyle w:val="TOC3"/>
            <w:tabs>
              <w:tab w:val="right" w:leader="dot" w:pos="8296"/>
            </w:tabs>
            <w:rPr>
              <w:rFonts w:cstheme="minorBidi" w:hint="eastAsia"/>
              <w:noProof/>
              <w:kern w:val="2"/>
              <w:szCs w:val="24"/>
              <w14:ligatures w14:val="standardContextual"/>
            </w:rPr>
          </w:pPr>
          <w:hyperlink w:anchor="_Toc232419407" w:history="1">
            <w:r w:rsidRPr="00792994">
              <w:rPr>
                <w:rStyle w:val="ae"/>
                <w:rFonts w:hint="eastAsia"/>
                <w:noProof/>
              </w:rPr>
              <w:t>2.1 主要仪器与设备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_Toc232419407 \h</w:instrText>
            </w:r>
            <w:r>
              <w:rPr>
                <w:rFonts w:hint="eastAsia"/>
                <w:noProof/>
                <w:webHidden/>
              </w:rPr>
              <w:instrText xml:space="preserve"> </w:instrText>
            </w:r>
            <w:r>
              <w:rPr>
                <w:rFonts w:hint="eastAsia"/>
                <w:noProof/>
                <w:webHidden/>
              </w:rPr>
            </w:r>
            <w:r>
              <w:rPr>
                <w:rFonts w:hint="eastAsia"/>
                <w:noProof/>
                <w:webHidden/>
              </w:rPr>
              <w:fldChar w:fldCharType="separate"/>
            </w:r>
            <w:r w:rsidR="00920E75">
              <w:rPr>
                <w:rFonts w:hint="eastAsia"/>
                <w:noProof/>
                <w:webHidden/>
              </w:rPr>
              <w:t>9</w:t>
            </w:r>
            <w:r>
              <w:rPr>
                <w:rFonts w:hint="eastAsia"/>
                <w:noProof/>
                <w:webHidden/>
              </w:rPr>
              <w:fldChar w:fldCharType="end"/>
            </w:r>
          </w:hyperlink>
        </w:p>
        <w:p w14:paraId="4A137107" w14:textId="69DDA5D1" w:rsidR="0014222D" w:rsidRDefault="0014222D">
          <w:pPr>
            <w:pStyle w:val="TOC3"/>
            <w:tabs>
              <w:tab w:val="right" w:leader="dot" w:pos="8296"/>
            </w:tabs>
            <w:rPr>
              <w:rFonts w:cstheme="minorBidi" w:hint="eastAsia"/>
              <w:noProof/>
              <w:kern w:val="2"/>
              <w:szCs w:val="24"/>
              <w14:ligatures w14:val="standardContextual"/>
            </w:rPr>
          </w:pPr>
          <w:hyperlink w:anchor="_Toc232419408" w:history="1">
            <w:r w:rsidRPr="00792994">
              <w:rPr>
                <w:rStyle w:val="ae"/>
                <w:rFonts w:hint="eastAsia"/>
                <w:noProof/>
              </w:rPr>
              <w:t>2.2 主要试剂</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_Toc232419408 \h</w:instrText>
            </w:r>
            <w:r>
              <w:rPr>
                <w:rFonts w:hint="eastAsia"/>
                <w:noProof/>
                <w:webHidden/>
              </w:rPr>
              <w:instrText xml:space="preserve"> </w:instrText>
            </w:r>
            <w:r>
              <w:rPr>
                <w:rFonts w:hint="eastAsia"/>
                <w:noProof/>
                <w:webHidden/>
              </w:rPr>
            </w:r>
            <w:r>
              <w:rPr>
                <w:rFonts w:hint="eastAsia"/>
                <w:noProof/>
                <w:webHidden/>
              </w:rPr>
              <w:fldChar w:fldCharType="separate"/>
            </w:r>
            <w:r w:rsidR="00920E75">
              <w:rPr>
                <w:rFonts w:hint="eastAsia"/>
                <w:noProof/>
                <w:webHidden/>
              </w:rPr>
              <w:t>9</w:t>
            </w:r>
            <w:r>
              <w:rPr>
                <w:rFonts w:hint="eastAsia"/>
                <w:noProof/>
                <w:webHidden/>
              </w:rPr>
              <w:fldChar w:fldCharType="end"/>
            </w:r>
          </w:hyperlink>
        </w:p>
        <w:p w14:paraId="66E3F960" w14:textId="6B6E57D0" w:rsidR="0014222D" w:rsidRDefault="0014222D">
          <w:pPr>
            <w:pStyle w:val="TOC3"/>
            <w:tabs>
              <w:tab w:val="right" w:leader="dot" w:pos="8296"/>
            </w:tabs>
            <w:rPr>
              <w:rFonts w:cstheme="minorBidi" w:hint="eastAsia"/>
              <w:noProof/>
              <w:kern w:val="2"/>
              <w:szCs w:val="24"/>
              <w14:ligatures w14:val="standardContextual"/>
            </w:rPr>
          </w:pPr>
          <w:hyperlink w:anchor="_Toc232419409" w:history="1">
            <w:r w:rsidRPr="00792994">
              <w:rPr>
                <w:rStyle w:val="ae"/>
                <w:rFonts w:hint="eastAsia"/>
                <w:noProof/>
              </w:rPr>
              <w:t>2.3 纳米番茄红素制备与应用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_Toc232419409 \h</w:instrText>
            </w:r>
            <w:r>
              <w:rPr>
                <w:rFonts w:hint="eastAsia"/>
                <w:noProof/>
                <w:webHidden/>
              </w:rPr>
              <w:instrText xml:space="preserve"> </w:instrText>
            </w:r>
            <w:r>
              <w:rPr>
                <w:rFonts w:hint="eastAsia"/>
                <w:noProof/>
                <w:webHidden/>
              </w:rPr>
            </w:r>
            <w:r>
              <w:rPr>
                <w:rFonts w:hint="eastAsia"/>
                <w:noProof/>
                <w:webHidden/>
              </w:rPr>
              <w:fldChar w:fldCharType="separate"/>
            </w:r>
            <w:r w:rsidR="00920E75">
              <w:rPr>
                <w:rFonts w:hint="eastAsia"/>
                <w:noProof/>
                <w:webHidden/>
              </w:rPr>
              <w:t>10</w:t>
            </w:r>
            <w:r>
              <w:rPr>
                <w:rFonts w:hint="eastAsia"/>
                <w:noProof/>
                <w:webHidden/>
              </w:rPr>
              <w:fldChar w:fldCharType="end"/>
            </w:r>
          </w:hyperlink>
        </w:p>
        <w:p w14:paraId="52E2BDED" w14:textId="3F4D37C8" w:rsidR="0014222D" w:rsidRDefault="0014222D">
          <w:pPr>
            <w:pStyle w:val="TOC3"/>
            <w:tabs>
              <w:tab w:val="right" w:leader="dot" w:pos="8296"/>
            </w:tabs>
            <w:rPr>
              <w:rFonts w:cstheme="minorBidi" w:hint="eastAsia"/>
              <w:noProof/>
              <w:kern w:val="2"/>
              <w:szCs w:val="24"/>
              <w14:ligatures w14:val="standardContextual"/>
            </w:rPr>
          </w:pPr>
          <w:hyperlink w:anchor="_Toc232419410" w:history="1">
            <w:r w:rsidRPr="00792994">
              <w:rPr>
                <w:rStyle w:val="ae"/>
                <w:rFonts w:hint="eastAsia"/>
                <w:noProof/>
              </w:rPr>
              <w:t>2.3.1 nLYC的制备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_Toc232419410 \h</w:instrText>
            </w:r>
            <w:r>
              <w:rPr>
                <w:rFonts w:hint="eastAsia"/>
                <w:noProof/>
                <w:webHidden/>
              </w:rPr>
              <w:instrText xml:space="preserve"> </w:instrText>
            </w:r>
            <w:r>
              <w:rPr>
                <w:rFonts w:hint="eastAsia"/>
                <w:noProof/>
                <w:webHidden/>
              </w:rPr>
            </w:r>
            <w:r>
              <w:rPr>
                <w:rFonts w:hint="eastAsia"/>
                <w:noProof/>
                <w:webHidden/>
              </w:rPr>
              <w:fldChar w:fldCharType="separate"/>
            </w:r>
            <w:r w:rsidR="00920E75">
              <w:rPr>
                <w:rFonts w:hint="eastAsia"/>
                <w:noProof/>
                <w:webHidden/>
              </w:rPr>
              <w:t>10</w:t>
            </w:r>
            <w:r>
              <w:rPr>
                <w:rFonts w:hint="eastAsia"/>
                <w:noProof/>
                <w:webHidden/>
              </w:rPr>
              <w:fldChar w:fldCharType="end"/>
            </w:r>
          </w:hyperlink>
        </w:p>
        <w:p w14:paraId="5F9D1612" w14:textId="11E79765" w:rsidR="0014222D" w:rsidRDefault="0014222D">
          <w:pPr>
            <w:pStyle w:val="TOC3"/>
            <w:tabs>
              <w:tab w:val="right" w:leader="dot" w:pos="8296"/>
            </w:tabs>
            <w:rPr>
              <w:rFonts w:cstheme="minorBidi" w:hint="eastAsia"/>
              <w:noProof/>
              <w:kern w:val="2"/>
              <w:szCs w:val="24"/>
              <w14:ligatures w14:val="standardContextual"/>
            </w:rPr>
          </w:pPr>
          <w:hyperlink w:anchor="_Toc232419411" w:history="1">
            <w:r w:rsidRPr="00792994">
              <w:rPr>
                <w:rStyle w:val="ae"/>
                <w:rFonts w:hint="eastAsia"/>
                <w:noProof/>
              </w:rPr>
              <w:t>2.3.2 试验动物分组与处理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_Toc232419411 \h</w:instrText>
            </w:r>
            <w:r>
              <w:rPr>
                <w:rFonts w:hint="eastAsia"/>
                <w:noProof/>
                <w:webHidden/>
              </w:rPr>
              <w:instrText xml:space="preserve"> </w:instrText>
            </w:r>
            <w:r>
              <w:rPr>
                <w:rFonts w:hint="eastAsia"/>
                <w:noProof/>
                <w:webHidden/>
              </w:rPr>
            </w:r>
            <w:r>
              <w:rPr>
                <w:rFonts w:hint="eastAsia"/>
                <w:noProof/>
                <w:webHidden/>
              </w:rPr>
              <w:fldChar w:fldCharType="separate"/>
            </w:r>
            <w:r w:rsidR="00920E75">
              <w:rPr>
                <w:rFonts w:hint="eastAsia"/>
                <w:noProof/>
                <w:webHidden/>
              </w:rPr>
              <w:t>10</w:t>
            </w:r>
            <w:r>
              <w:rPr>
                <w:rFonts w:hint="eastAsia"/>
                <w:noProof/>
                <w:webHidden/>
              </w:rPr>
              <w:fldChar w:fldCharType="end"/>
            </w:r>
          </w:hyperlink>
        </w:p>
        <w:p w14:paraId="28649CBD" w14:textId="48728E39" w:rsidR="0014222D" w:rsidRDefault="0014222D">
          <w:pPr>
            <w:pStyle w:val="TOC3"/>
            <w:tabs>
              <w:tab w:val="right" w:leader="dot" w:pos="8296"/>
            </w:tabs>
            <w:rPr>
              <w:rFonts w:cstheme="minorBidi" w:hint="eastAsia"/>
              <w:noProof/>
              <w:kern w:val="2"/>
              <w:szCs w:val="24"/>
              <w14:ligatures w14:val="standardContextual"/>
            </w:rPr>
          </w:pPr>
          <w:hyperlink w:anchor="_Toc232419412" w:history="1">
            <w:r w:rsidRPr="00792994">
              <w:rPr>
                <w:rStyle w:val="ae"/>
                <w:rFonts w:hint="eastAsia"/>
                <w:noProof/>
              </w:rPr>
              <w:t>2.3.3 nLYC对t-BOOH处理TM4细胞活力的影响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_Toc232419412 \h</w:instrText>
            </w:r>
            <w:r>
              <w:rPr>
                <w:rFonts w:hint="eastAsia"/>
                <w:noProof/>
                <w:webHidden/>
              </w:rPr>
              <w:instrText xml:space="preserve"> </w:instrText>
            </w:r>
            <w:r>
              <w:rPr>
                <w:rFonts w:hint="eastAsia"/>
                <w:noProof/>
                <w:webHidden/>
              </w:rPr>
            </w:r>
            <w:r>
              <w:rPr>
                <w:rFonts w:hint="eastAsia"/>
                <w:noProof/>
                <w:webHidden/>
              </w:rPr>
              <w:fldChar w:fldCharType="separate"/>
            </w:r>
            <w:r w:rsidR="00920E75">
              <w:rPr>
                <w:rFonts w:hint="eastAsia"/>
                <w:noProof/>
                <w:webHidden/>
              </w:rPr>
              <w:t>10</w:t>
            </w:r>
            <w:r>
              <w:rPr>
                <w:rFonts w:hint="eastAsia"/>
                <w:noProof/>
                <w:webHidden/>
              </w:rPr>
              <w:fldChar w:fldCharType="end"/>
            </w:r>
          </w:hyperlink>
        </w:p>
        <w:p w14:paraId="36DDBD3A" w14:textId="07190C6E" w:rsidR="0014222D" w:rsidRDefault="0014222D">
          <w:pPr>
            <w:pStyle w:val="TOC1"/>
            <w:tabs>
              <w:tab w:val="right" w:leader="dot" w:pos="8296"/>
            </w:tabs>
            <w:rPr>
              <w:rFonts w:cstheme="minorBidi" w:hint="eastAsia"/>
              <w:noProof/>
              <w:kern w:val="2"/>
              <w:szCs w:val="24"/>
              <w14:ligatures w14:val="standardContextual"/>
            </w:rPr>
          </w:pPr>
          <w:hyperlink w:anchor="_Toc232419413" w:history="1">
            <w:r w:rsidRPr="00792994">
              <w:rPr>
                <w:rStyle w:val="ae"/>
                <w:rFonts w:hint="eastAsia"/>
                <w:noProof/>
              </w:rPr>
              <w:t>3 结 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_Toc232419413 \h</w:instrText>
            </w:r>
            <w:r>
              <w:rPr>
                <w:rFonts w:hint="eastAsia"/>
                <w:noProof/>
                <w:webHidden/>
              </w:rPr>
              <w:instrText xml:space="preserve"> </w:instrText>
            </w:r>
            <w:r>
              <w:rPr>
                <w:rFonts w:hint="eastAsia"/>
                <w:noProof/>
                <w:webHidden/>
              </w:rPr>
            </w:r>
            <w:r>
              <w:rPr>
                <w:rFonts w:hint="eastAsia"/>
                <w:noProof/>
                <w:webHidden/>
              </w:rPr>
              <w:fldChar w:fldCharType="separate"/>
            </w:r>
            <w:r w:rsidR="00920E75">
              <w:rPr>
                <w:rFonts w:hint="eastAsia"/>
                <w:noProof/>
                <w:webHidden/>
              </w:rPr>
              <w:t>11</w:t>
            </w:r>
            <w:r>
              <w:rPr>
                <w:rFonts w:hint="eastAsia"/>
                <w:noProof/>
                <w:webHidden/>
              </w:rPr>
              <w:fldChar w:fldCharType="end"/>
            </w:r>
          </w:hyperlink>
        </w:p>
        <w:p w14:paraId="73B1273E" w14:textId="4DF31C76" w:rsidR="0014222D" w:rsidRDefault="0014222D">
          <w:pPr>
            <w:pStyle w:val="TOC2"/>
            <w:tabs>
              <w:tab w:val="right" w:leader="dot" w:pos="8296"/>
            </w:tabs>
            <w:rPr>
              <w:rFonts w:cstheme="minorBidi" w:hint="eastAsia"/>
              <w:noProof/>
              <w:kern w:val="2"/>
              <w:szCs w:val="24"/>
              <w14:ligatures w14:val="standardContextual"/>
            </w:rPr>
          </w:pPr>
          <w:hyperlink w:anchor="_Toc232419414" w:history="1">
            <w:r w:rsidRPr="00792994">
              <w:rPr>
                <w:rStyle w:val="ae"/>
                <w:rFonts w:hint="eastAsia"/>
                <w:noProof/>
              </w:rPr>
              <w:t>3.1 nLYC材料表征部分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_Toc232419414 \h</w:instrText>
            </w:r>
            <w:r>
              <w:rPr>
                <w:rFonts w:hint="eastAsia"/>
                <w:noProof/>
                <w:webHidden/>
              </w:rPr>
              <w:instrText xml:space="preserve"> </w:instrText>
            </w:r>
            <w:r>
              <w:rPr>
                <w:rFonts w:hint="eastAsia"/>
                <w:noProof/>
                <w:webHidden/>
              </w:rPr>
            </w:r>
            <w:r>
              <w:rPr>
                <w:rFonts w:hint="eastAsia"/>
                <w:noProof/>
                <w:webHidden/>
              </w:rPr>
              <w:fldChar w:fldCharType="separate"/>
            </w:r>
            <w:r w:rsidR="00920E75">
              <w:rPr>
                <w:rFonts w:hint="eastAsia"/>
                <w:noProof/>
                <w:webHidden/>
              </w:rPr>
              <w:t>11</w:t>
            </w:r>
            <w:r>
              <w:rPr>
                <w:rFonts w:hint="eastAsia"/>
                <w:noProof/>
                <w:webHidden/>
              </w:rPr>
              <w:fldChar w:fldCharType="end"/>
            </w:r>
          </w:hyperlink>
        </w:p>
        <w:p w14:paraId="6E3B792C" w14:textId="143DEFED" w:rsidR="0014222D" w:rsidRDefault="0014222D">
          <w:pPr>
            <w:pStyle w:val="TOC3"/>
            <w:tabs>
              <w:tab w:val="right" w:leader="dot" w:pos="8296"/>
            </w:tabs>
            <w:rPr>
              <w:rFonts w:cstheme="minorBidi" w:hint="eastAsia"/>
              <w:noProof/>
              <w:kern w:val="2"/>
              <w:szCs w:val="24"/>
              <w14:ligatures w14:val="standardContextual"/>
            </w:rPr>
          </w:pPr>
          <w:hyperlink w:anchor="_Toc232419415" w:history="1">
            <w:r w:rsidRPr="00792994">
              <w:rPr>
                <w:rStyle w:val="ae"/>
                <w:rFonts w:hint="eastAsia"/>
                <w:noProof/>
              </w:rPr>
              <w:t>3.1.1 FSH对TM4细胞摄取nLYC影响的检测结果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_Toc232419415 \h</w:instrText>
            </w:r>
            <w:r>
              <w:rPr>
                <w:rFonts w:hint="eastAsia"/>
                <w:noProof/>
                <w:webHidden/>
              </w:rPr>
              <w:instrText xml:space="preserve"> </w:instrText>
            </w:r>
            <w:r>
              <w:rPr>
                <w:rFonts w:hint="eastAsia"/>
                <w:noProof/>
                <w:webHidden/>
              </w:rPr>
            </w:r>
            <w:r>
              <w:rPr>
                <w:rFonts w:hint="eastAsia"/>
                <w:noProof/>
                <w:webHidden/>
              </w:rPr>
              <w:fldChar w:fldCharType="separate"/>
            </w:r>
            <w:r w:rsidR="00920E75">
              <w:rPr>
                <w:rFonts w:hint="eastAsia"/>
                <w:noProof/>
                <w:webHidden/>
              </w:rPr>
              <w:t>11</w:t>
            </w:r>
            <w:r>
              <w:rPr>
                <w:rFonts w:hint="eastAsia"/>
                <w:noProof/>
                <w:webHidden/>
              </w:rPr>
              <w:fldChar w:fldCharType="end"/>
            </w:r>
          </w:hyperlink>
        </w:p>
        <w:p w14:paraId="7AA46C5D" w14:textId="11F31CF2" w:rsidR="0014222D" w:rsidRDefault="0014222D">
          <w:pPr>
            <w:pStyle w:val="TOC1"/>
            <w:tabs>
              <w:tab w:val="right" w:leader="dot" w:pos="8296"/>
            </w:tabs>
            <w:rPr>
              <w:rFonts w:cstheme="minorBidi" w:hint="eastAsia"/>
              <w:noProof/>
              <w:kern w:val="2"/>
              <w:szCs w:val="24"/>
              <w14:ligatures w14:val="standardContextual"/>
            </w:rPr>
          </w:pPr>
          <w:hyperlink w:anchor="_Toc232419416" w:history="1">
            <w:r w:rsidRPr="00792994">
              <w:rPr>
                <w:rStyle w:val="ae"/>
                <w:rFonts w:hint="eastAsia"/>
                <w:noProof/>
              </w:rPr>
              <w:t>4 讨 论</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_Toc232419416 \h</w:instrText>
            </w:r>
            <w:r>
              <w:rPr>
                <w:rFonts w:hint="eastAsia"/>
                <w:noProof/>
                <w:webHidden/>
              </w:rPr>
              <w:instrText xml:space="preserve"> </w:instrText>
            </w:r>
            <w:r>
              <w:rPr>
                <w:rFonts w:hint="eastAsia"/>
                <w:noProof/>
                <w:webHidden/>
              </w:rPr>
            </w:r>
            <w:r>
              <w:rPr>
                <w:rFonts w:hint="eastAsia"/>
                <w:noProof/>
                <w:webHidden/>
              </w:rPr>
              <w:fldChar w:fldCharType="separate"/>
            </w:r>
            <w:r w:rsidR="00920E75">
              <w:rPr>
                <w:rFonts w:hint="eastAsia"/>
                <w:noProof/>
                <w:webHidden/>
              </w:rPr>
              <w:t>12</w:t>
            </w:r>
            <w:r>
              <w:rPr>
                <w:rFonts w:hint="eastAsia"/>
                <w:noProof/>
                <w:webHidden/>
              </w:rPr>
              <w:fldChar w:fldCharType="end"/>
            </w:r>
          </w:hyperlink>
        </w:p>
        <w:p w14:paraId="10DE34D5" w14:textId="36D1F3E0" w:rsidR="0014222D" w:rsidRDefault="0014222D">
          <w:pPr>
            <w:pStyle w:val="TOC2"/>
            <w:tabs>
              <w:tab w:val="right" w:leader="dot" w:pos="8296"/>
            </w:tabs>
            <w:rPr>
              <w:rFonts w:cstheme="minorBidi" w:hint="eastAsia"/>
              <w:noProof/>
              <w:kern w:val="2"/>
              <w:szCs w:val="24"/>
              <w14:ligatures w14:val="standardContextual"/>
            </w:rPr>
          </w:pPr>
          <w:hyperlink w:anchor="_Toc232419417" w:history="1">
            <w:r w:rsidRPr="00792994">
              <w:rPr>
                <w:rStyle w:val="ae"/>
                <w:rFonts w:hint="eastAsia"/>
                <w:noProof/>
              </w:rPr>
              <w:t>4.1 nLYC对炎症诱导睾丸结构变化的影响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_Toc232419417 \h</w:instrText>
            </w:r>
            <w:r>
              <w:rPr>
                <w:rFonts w:hint="eastAsia"/>
                <w:noProof/>
                <w:webHidden/>
              </w:rPr>
              <w:instrText xml:space="preserve"> </w:instrText>
            </w:r>
            <w:r>
              <w:rPr>
                <w:rFonts w:hint="eastAsia"/>
                <w:noProof/>
                <w:webHidden/>
              </w:rPr>
            </w:r>
            <w:r>
              <w:rPr>
                <w:rFonts w:hint="eastAsia"/>
                <w:noProof/>
                <w:webHidden/>
              </w:rPr>
              <w:fldChar w:fldCharType="separate"/>
            </w:r>
            <w:r w:rsidR="00920E75">
              <w:rPr>
                <w:rFonts w:hint="eastAsia"/>
                <w:noProof/>
                <w:webHidden/>
              </w:rPr>
              <w:t>12</w:t>
            </w:r>
            <w:r>
              <w:rPr>
                <w:rFonts w:hint="eastAsia"/>
                <w:noProof/>
                <w:webHidden/>
              </w:rPr>
              <w:fldChar w:fldCharType="end"/>
            </w:r>
          </w:hyperlink>
        </w:p>
        <w:p w14:paraId="379D8B66" w14:textId="334A053C" w:rsidR="0014222D" w:rsidRDefault="0014222D">
          <w:pPr>
            <w:pStyle w:val="TOC2"/>
            <w:tabs>
              <w:tab w:val="right" w:leader="dot" w:pos="8296"/>
            </w:tabs>
            <w:rPr>
              <w:rFonts w:cstheme="minorBidi" w:hint="eastAsia"/>
              <w:noProof/>
              <w:kern w:val="2"/>
              <w:szCs w:val="24"/>
              <w14:ligatures w14:val="standardContextual"/>
            </w:rPr>
          </w:pPr>
          <w:hyperlink w:anchor="_Toc232419418" w:history="1">
            <w:r w:rsidRPr="00792994">
              <w:rPr>
                <w:rStyle w:val="ae"/>
                <w:rFonts w:hint="eastAsia"/>
                <w:noProof/>
              </w:rPr>
              <w:t>4.2 nLYC对炎症诱导激素合成异常的影响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_Toc232419418 \h</w:instrText>
            </w:r>
            <w:r>
              <w:rPr>
                <w:rFonts w:hint="eastAsia"/>
                <w:noProof/>
                <w:webHidden/>
              </w:rPr>
              <w:instrText xml:space="preserve"> </w:instrText>
            </w:r>
            <w:r>
              <w:rPr>
                <w:rFonts w:hint="eastAsia"/>
                <w:noProof/>
                <w:webHidden/>
              </w:rPr>
            </w:r>
            <w:r>
              <w:rPr>
                <w:rFonts w:hint="eastAsia"/>
                <w:noProof/>
                <w:webHidden/>
              </w:rPr>
              <w:fldChar w:fldCharType="separate"/>
            </w:r>
            <w:r w:rsidR="00920E75">
              <w:rPr>
                <w:rFonts w:hint="eastAsia"/>
                <w:noProof/>
                <w:webHidden/>
              </w:rPr>
              <w:t>13</w:t>
            </w:r>
            <w:r>
              <w:rPr>
                <w:rFonts w:hint="eastAsia"/>
                <w:noProof/>
                <w:webHidden/>
              </w:rPr>
              <w:fldChar w:fldCharType="end"/>
            </w:r>
          </w:hyperlink>
        </w:p>
        <w:p w14:paraId="31F98E7D" w14:textId="56E41A57" w:rsidR="0014222D" w:rsidRDefault="0014222D">
          <w:pPr>
            <w:pStyle w:val="TOC2"/>
            <w:tabs>
              <w:tab w:val="right" w:leader="dot" w:pos="8296"/>
            </w:tabs>
            <w:rPr>
              <w:rFonts w:cstheme="minorBidi" w:hint="eastAsia"/>
              <w:noProof/>
              <w:kern w:val="2"/>
              <w:szCs w:val="24"/>
              <w14:ligatures w14:val="standardContextual"/>
            </w:rPr>
          </w:pPr>
          <w:hyperlink w:anchor="_Toc232419419" w:history="1">
            <w:r w:rsidRPr="00792994">
              <w:rPr>
                <w:rStyle w:val="ae"/>
                <w:rFonts w:hint="eastAsia"/>
                <w:noProof/>
              </w:rPr>
              <w:t>4.3 nLYC的体内分布和安全评估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_Toc232419419 \h</w:instrText>
            </w:r>
            <w:r>
              <w:rPr>
                <w:rFonts w:hint="eastAsia"/>
                <w:noProof/>
                <w:webHidden/>
              </w:rPr>
              <w:instrText xml:space="preserve"> </w:instrText>
            </w:r>
            <w:r>
              <w:rPr>
                <w:rFonts w:hint="eastAsia"/>
                <w:noProof/>
                <w:webHidden/>
              </w:rPr>
            </w:r>
            <w:r>
              <w:rPr>
                <w:rFonts w:hint="eastAsia"/>
                <w:noProof/>
                <w:webHidden/>
              </w:rPr>
              <w:fldChar w:fldCharType="separate"/>
            </w:r>
            <w:r w:rsidR="00920E75">
              <w:rPr>
                <w:rFonts w:hint="eastAsia"/>
                <w:noProof/>
                <w:webHidden/>
              </w:rPr>
              <w:t>13</w:t>
            </w:r>
            <w:r>
              <w:rPr>
                <w:rFonts w:hint="eastAsia"/>
                <w:noProof/>
                <w:webHidden/>
              </w:rPr>
              <w:fldChar w:fldCharType="end"/>
            </w:r>
          </w:hyperlink>
        </w:p>
        <w:p w14:paraId="4DDC215C" w14:textId="54C64273" w:rsidR="0014222D" w:rsidRDefault="0014222D">
          <w:pPr>
            <w:pStyle w:val="TOC1"/>
            <w:tabs>
              <w:tab w:val="right" w:leader="dot" w:pos="8296"/>
            </w:tabs>
            <w:rPr>
              <w:rFonts w:cstheme="minorBidi" w:hint="eastAsia"/>
              <w:noProof/>
              <w:kern w:val="2"/>
              <w:szCs w:val="24"/>
              <w14:ligatures w14:val="standardContextual"/>
            </w:rPr>
          </w:pPr>
          <w:hyperlink w:anchor="_Toc232419420" w:history="1">
            <w:r w:rsidRPr="00792994">
              <w:rPr>
                <w:rStyle w:val="ae"/>
                <w:rFonts w:hint="eastAsia"/>
                <w:noProof/>
              </w:rPr>
              <w:t>5 结 论</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_Toc232419420 \h</w:instrText>
            </w:r>
            <w:r>
              <w:rPr>
                <w:rFonts w:hint="eastAsia"/>
                <w:noProof/>
                <w:webHidden/>
              </w:rPr>
              <w:instrText xml:space="preserve"> </w:instrText>
            </w:r>
            <w:r>
              <w:rPr>
                <w:rFonts w:hint="eastAsia"/>
                <w:noProof/>
                <w:webHidden/>
              </w:rPr>
            </w:r>
            <w:r>
              <w:rPr>
                <w:rFonts w:hint="eastAsia"/>
                <w:noProof/>
                <w:webHidden/>
              </w:rPr>
              <w:fldChar w:fldCharType="separate"/>
            </w:r>
            <w:r w:rsidR="00920E75">
              <w:rPr>
                <w:rFonts w:hint="eastAsia"/>
                <w:noProof/>
                <w:webHidden/>
              </w:rPr>
              <w:t>14</w:t>
            </w:r>
            <w:r>
              <w:rPr>
                <w:rFonts w:hint="eastAsia"/>
                <w:noProof/>
                <w:webHidden/>
              </w:rPr>
              <w:fldChar w:fldCharType="end"/>
            </w:r>
          </w:hyperlink>
        </w:p>
        <w:p w14:paraId="10F898FF" w14:textId="1CC421D6" w:rsidR="0014222D" w:rsidRDefault="0014222D">
          <w:pPr>
            <w:pStyle w:val="TOC1"/>
            <w:tabs>
              <w:tab w:val="right" w:leader="dot" w:pos="8296"/>
            </w:tabs>
            <w:rPr>
              <w:rFonts w:cstheme="minorBidi" w:hint="eastAsia"/>
              <w:noProof/>
              <w:kern w:val="2"/>
              <w:szCs w:val="24"/>
              <w14:ligatures w14:val="standardContextual"/>
            </w:rPr>
          </w:pPr>
          <w:hyperlink w:anchor="_Toc232419421" w:history="1">
            <w:r w:rsidRPr="00792994">
              <w:rPr>
                <w:rStyle w:val="ae"/>
                <w:rFonts w:hint="eastAsia"/>
                <w:noProof/>
              </w:rPr>
              <w:t>参考文献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_Toc232419421 \h</w:instrText>
            </w:r>
            <w:r>
              <w:rPr>
                <w:rFonts w:hint="eastAsia"/>
                <w:noProof/>
                <w:webHidden/>
              </w:rPr>
              <w:instrText xml:space="preserve"> </w:instrText>
            </w:r>
            <w:r>
              <w:rPr>
                <w:rFonts w:hint="eastAsia"/>
                <w:noProof/>
                <w:webHidden/>
              </w:rPr>
            </w:r>
            <w:r>
              <w:rPr>
                <w:rFonts w:hint="eastAsia"/>
                <w:noProof/>
                <w:webHidden/>
              </w:rPr>
              <w:fldChar w:fldCharType="separate"/>
            </w:r>
            <w:r w:rsidR="00920E75">
              <w:rPr>
                <w:rFonts w:hint="eastAsia"/>
                <w:noProof/>
                <w:webHidden/>
              </w:rPr>
              <w:t>15</w:t>
            </w:r>
            <w:r>
              <w:rPr>
                <w:rFonts w:hint="eastAsia"/>
                <w:noProof/>
                <w:webHidden/>
              </w:rPr>
              <w:fldChar w:fldCharType="end"/>
            </w:r>
          </w:hyperlink>
        </w:p>
        <w:p w14:paraId="2C12288F" w14:textId="207BD552" w:rsidR="0014222D" w:rsidRDefault="0014222D">
          <w:pPr>
            <w:pStyle w:val="TOC1"/>
            <w:tabs>
              <w:tab w:val="right" w:leader="dot" w:pos="8296"/>
            </w:tabs>
            <w:rPr>
              <w:rFonts w:cstheme="minorBidi" w:hint="eastAsia"/>
              <w:noProof/>
              <w:kern w:val="2"/>
              <w:szCs w:val="24"/>
              <w14:ligatures w14:val="standardContextual"/>
            </w:rPr>
          </w:pPr>
          <w:hyperlink w:anchor="_Toc232419422" w:history="1">
            <w:r w:rsidRPr="00792994">
              <w:rPr>
                <w:rStyle w:val="ae"/>
                <w:rFonts w:hint="eastAsia"/>
                <w:noProof/>
              </w:rPr>
              <w:t>致 谢</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_Toc232419422 \h</w:instrText>
            </w:r>
            <w:r>
              <w:rPr>
                <w:rFonts w:hint="eastAsia"/>
                <w:noProof/>
                <w:webHidden/>
              </w:rPr>
              <w:instrText xml:space="preserve"> </w:instrText>
            </w:r>
            <w:r>
              <w:rPr>
                <w:rFonts w:hint="eastAsia"/>
                <w:noProof/>
                <w:webHidden/>
              </w:rPr>
            </w:r>
            <w:r>
              <w:rPr>
                <w:rFonts w:hint="eastAsia"/>
                <w:noProof/>
                <w:webHidden/>
              </w:rPr>
              <w:fldChar w:fldCharType="separate"/>
            </w:r>
            <w:r w:rsidR="00920E75">
              <w:rPr>
                <w:rFonts w:hint="eastAsia"/>
                <w:noProof/>
                <w:webHidden/>
              </w:rPr>
              <w:t>16</w:t>
            </w:r>
            <w:r>
              <w:rPr>
                <w:rFonts w:hint="eastAsia"/>
                <w:noProof/>
                <w:webHidden/>
              </w:rPr>
              <w:fldChar w:fldCharType="end"/>
            </w:r>
          </w:hyperlink>
        </w:p>
        <w:p w14:paraId="7278BB22" w14:textId="4FAAB916" w:rsidR="00CB5FBB" w:rsidRDefault="00000000">
          <w:pPr>
            <w:ind w:firstLine="422"/>
          </w:pPr>
          <w:r>
            <w:rPr>
              <w:b/>
              <w:bCs/>
              <w:lang w:val="zh-CN"/>
            </w:rPr>
            <w:fldChar w:fldCharType="end"/>
          </w:r>
        </w:p>
      </w:sdtContent>
    </w:sdt>
    <w:p w14:paraId="1CB00456" w14:textId="77777777" w:rsidR="00CB5FBB" w:rsidRDefault="00CB5FBB" w:rsidP="00D579CD">
      <w:pPr>
        <w:ind w:firstLine="420"/>
      </w:pPr>
    </w:p>
    <w:p w14:paraId="27A309D2" w14:textId="77777777" w:rsidR="00CB5FBB" w:rsidRDefault="00CB5FBB">
      <w:pPr>
        <w:ind w:firstLine="420"/>
      </w:pPr>
    </w:p>
    <w:permEnd w:id="556339361"/>
    <w:p w14:paraId="34BC8812" w14:textId="77777777" w:rsidR="00CB5FBB" w:rsidRDefault="00CB5FBB">
      <w:pPr>
        <w:ind w:firstLine="420"/>
        <w:sectPr w:rsidR="00CB5FBB">
          <w:pgSz w:w="11906" w:h="16838"/>
          <w:pgMar w:top="1440" w:right="1800" w:bottom="1440" w:left="1800" w:header="851" w:footer="992" w:gutter="0"/>
          <w:cols w:space="425"/>
          <w:docGrid w:type="lines" w:linePitch="312"/>
        </w:sectPr>
      </w:pPr>
    </w:p>
    <w:p w14:paraId="3FBCD8A8" w14:textId="6FB3E648" w:rsidR="00CB5FBB" w:rsidRDefault="00D579CD">
      <w:pPr>
        <w:pStyle w:val="afc"/>
      </w:pPr>
      <w:bookmarkStart w:id="1" w:name="_Toc232419400"/>
      <w:r>
        <w:rPr>
          <w:rFonts w:hint="eastAsia"/>
        </w:rPr>
        <w:lastRenderedPageBreak/>
        <w:t>中文摘要</w:t>
      </w:r>
      <w:bookmarkEnd w:id="1"/>
    </w:p>
    <w:p w14:paraId="4AD06EC3" w14:textId="0DDC6CD5" w:rsidR="00CB5FBB" w:rsidRDefault="00D82C02">
      <w:pPr>
        <w:pStyle w:val="afe"/>
      </w:pPr>
      <w:bookmarkStart w:id="2" w:name="OLE_LINK2"/>
      <w:r>
        <w:rPr>
          <w:rFonts w:hint="eastAsia"/>
        </w:rPr>
        <w:t>（</w:t>
      </w:r>
      <w:r w:rsidR="00000000">
        <w:rPr>
          <w:rFonts w:hint="eastAsia"/>
        </w:rPr>
        <w:t>提示：摘要是对整篇论文的高度凝练，需以最简洁的文字完整呈现研究所涵盖的全部关键信息，内容应包含研究目的、研究方法、研究结果、研究结论及关键词，不用设立标题，字数控制在</w:t>
      </w:r>
      <w:r w:rsidR="00000000">
        <w:rPr>
          <w:rFonts w:hint="eastAsia"/>
        </w:rPr>
        <w:t>1000</w:t>
      </w:r>
      <w:r w:rsidR="00000000">
        <w:rPr>
          <w:rFonts w:hint="eastAsia"/>
        </w:rPr>
        <w:t>字以内。范文如下）</w:t>
      </w:r>
    </w:p>
    <w:bookmarkEnd w:id="2"/>
    <w:p w14:paraId="3935FE7D" w14:textId="0A53ABE0" w:rsidR="00CB5FBB" w:rsidRDefault="00000000">
      <w:pPr>
        <w:ind w:firstLine="420"/>
      </w:pPr>
      <w:permStart w:id="1428183885" w:edGrp="everyone"/>
      <w:r>
        <w:t>铝（</w:t>
      </w:r>
      <w:r>
        <w:t>aluminum</w:t>
      </w:r>
      <w:r>
        <w:t>，</w:t>
      </w:r>
      <w:r>
        <w:t>Al</w:t>
      </w:r>
      <w:r>
        <w:t>）具有神经毒性，过量摄入可引起神经系统损伤，导致神经退行性疾病的发生。凋亡被认为</w:t>
      </w:r>
      <w:proofErr w:type="gramStart"/>
      <w:r>
        <w:t>是铝神</w:t>
      </w:r>
      <w:proofErr w:type="gramEnd"/>
      <w:r w:rsidR="00181423">
        <w:rPr>
          <w:rFonts w:hint="eastAsia"/>
        </w:rPr>
        <w:t xml:space="preserve"> </w:t>
      </w:r>
      <w:r>
        <w:t>经毒性的病理基础和核心机制。前期扫描电镜观察</w:t>
      </w:r>
      <w:proofErr w:type="gramStart"/>
      <w:r>
        <w:t>发现贯叶金</w:t>
      </w:r>
      <w:proofErr w:type="gramEnd"/>
      <w:r>
        <w:t>丝桃素（</w:t>
      </w:r>
      <w:r>
        <w:t>hyperforin</w:t>
      </w:r>
      <w:r>
        <w:t>，</w:t>
      </w:r>
      <w:r>
        <w:t>HF</w:t>
      </w:r>
      <w:r>
        <w:t>）可显著减少</w:t>
      </w:r>
      <w:r>
        <w:t>Al</w:t>
      </w:r>
      <w:r>
        <w:t>暴露</w:t>
      </w:r>
      <w:r>
        <w:t>PC12</w:t>
      </w:r>
      <w:r>
        <w:t>细胞表面凋亡小体的形成和细胞膜完整度下降，故提出</w:t>
      </w:r>
      <w:r>
        <w:t>HF</w:t>
      </w:r>
      <w:r>
        <w:t>通过抑制氧化应激和神经细胞凋亡来缓解铝神经毒性的假说。本试验选用</w:t>
      </w:r>
      <w:r>
        <w:t>PC12</w:t>
      </w:r>
      <w:r>
        <w:t>细胞为研究对象，用梯度浓度</w:t>
      </w:r>
      <w:r>
        <w:t>HF</w:t>
      </w:r>
      <w:r>
        <w:t>处理</w:t>
      </w:r>
      <w:r>
        <w:t>PC12</w:t>
      </w:r>
      <w:r>
        <w:t>细胞，并设不同时间，通过细胞活性试验，筛选出</w:t>
      </w:r>
      <w:r>
        <w:t>HF</w:t>
      </w:r>
      <w:r>
        <w:t>干预实验的最佳剂量和时间；而后用</w:t>
      </w:r>
      <w:proofErr w:type="gramStart"/>
      <w:r>
        <w:t>最</w:t>
      </w:r>
      <w:proofErr w:type="gramEnd"/>
      <w:r>
        <w:t>适浓度（</w:t>
      </w:r>
      <w:r>
        <w:t xml:space="preserve">1 </w:t>
      </w:r>
      <w:proofErr w:type="spellStart"/>
      <w:r>
        <w:t>μM</w:t>
      </w:r>
      <w:proofErr w:type="spellEnd"/>
      <w:r>
        <w:t>）的</w:t>
      </w:r>
      <w:r>
        <w:t>HF</w:t>
      </w:r>
      <w:r>
        <w:t>预处理</w:t>
      </w:r>
      <w:r>
        <w:t>PC12</w:t>
      </w:r>
      <w:r>
        <w:t>细胞</w:t>
      </w:r>
      <w:r>
        <w:t>12 h</w:t>
      </w:r>
      <w:r>
        <w:t>，再加</w:t>
      </w:r>
      <w:r>
        <w:t xml:space="preserve">500 </w:t>
      </w:r>
      <w:proofErr w:type="spellStart"/>
      <w:r>
        <w:t>μM</w:t>
      </w:r>
      <w:proofErr w:type="spellEnd"/>
      <w:r>
        <w:t xml:space="preserve"> Al-malt</w:t>
      </w:r>
      <w:r>
        <w:t>，作用</w:t>
      </w:r>
      <w:r>
        <w:t>48 h</w:t>
      </w:r>
      <w:r>
        <w:t>，建立</w:t>
      </w:r>
      <w:r>
        <w:t>HF</w:t>
      </w:r>
      <w:r>
        <w:t>干预</w:t>
      </w:r>
      <w:r>
        <w:t>Al-malt</w:t>
      </w:r>
      <w:r>
        <w:t>暴露的</w:t>
      </w:r>
      <w:r>
        <w:t>PC12</w:t>
      </w:r>
      <w:r>
        <w:t>细胞模型。试验共设</w:t>
      </w:r>
      <w:r>
        <w:t>4</w:t>
      </w:r>
      <w:r>
        <w:t>组，即对照组（</w:t>
      </w:r>
      <w:r>
        <w:t>C</w:t>
      </w:r>
      <w:r>
        <w:t>组）、染麦芽</w:t>
      </w:r>
      <w:proofErr w:type="gramStart"/>
      <w:r>
        <w:t>酚</w:t>
      </w:r>
      <w:proofErr w:type="gramEnd"/>
      <w:r>
        <w:t>铝组（</w:t>
      </w:r>
      <w:r>
        <w:t xml:space="preserve">500 </w:t>
      </w:r>
      <w:proofErr w:type="spellStart"/>
      <w:r>
        <w:t>μM</w:t>
      </w:r>
      <w:proofErr w:type="spellEnd"/>
      <w:r>
        <w:t xml:space="preserve"> Al-malt</w:t>
      </w:r>
      <w:r>
        <w:t>）、</w:t>
      </w:r>
      <w:r>
        <w:t>HF</w:t>
      </w:r>
      <w:r>
        <w:t>干预组（</w:t>
      </w:r>
      <w:r>
        <w:t xml:space="preserve">500 </w:t>
      </w:r>
      <w:proofErr w:type="spellStart"/>
      <w:r>
        <w:t>μM</w:t>
      </w:r>
      <w:proofErr w:type="spellEnd"/>
      <w:r>
        <w:t xml:space="preserve"> Al-malt+1 </w:t>
      </w:r>
      <w:proofErr w:type="spellStart"/>
      <w:r>
        <w:t>μM</w:t>
      </w:r>
      <w:proofErr w:type="spellEnd"/>
      <w:r>
        <w:t xml:space="preserve"> HF</w:t>
      </w:r>
      <w:r>
        <w:t>）和</w:t>
      </w:r>
      <w:r>
        <w:t>HF</w:t>
      </w:r>
      <w:r>
        <w:t>组（</w:t>
      </w:r>
      <w:r>
        <w:t xml:space="preserve">1 </w:t>
      </w:r>
      <w:proofErr w:type="spellStart"/>
      <w:r>
        <w:t>μM</w:t>
      </w:r>
      <w:proofErr w:type="spellEnd"/>
      <w:r>
        <w:t>），通过观测</w:t>
      </w:r>
      <w:r>
        <w:t>PC12</w:t>
      </w:r>
      <w:r>
        <w:t>细胞的活力、</w:t>
      </w:r>
      <w:r>
        <w:t>LDH</w:t>
      </w:r>
      <w:r>
        <w:t>释放量和细胞形态，氧化与抗氧化状态（</w:t>
      </w:r>
      <w:r>
        <w:t>ROS</w:t>
      </w:r>
      <w:r>
        <w:t>和</w:t>
      </w:r>
      <w:r>
        <w:t>MDA</w:t>
      </w:r>
      <w:r>
        <w:t>水平、</w:t>
      </w:r>
      <w:r>
        <w:t>SOD</w:t>
      </w:r>
      <w:r>
        <w:t>和</w:t>
      </w:r>
      <w:r>
        <w:t>GSH-</w:t>
      </w:r>
      <w:proofErr w:type="spellStart"/>
      <w:r>
        <w:t>Px</w:t>
      </w:r>
      <w:proofErr w:type="spellEnd"/>
      <w:r>
        <w:t>活性），细胞凋亡（细胞凋亡率，</w:t>
      </w:r>
      <w:r>
        <w:t>MMP</w:t>
      </w:r>
      <w:r>
        <w:t>，</w:t>
      </w:r>
      <w:proofErr w:type="spellStart"/>
      <w:r>
        <w:t>Cyt</w:t>
      </w:r>
      <w:proofErr w:type="spellEnd"/>
      <w:r>
        <w:t>-c</w:t>
      </w:r>
      <w:r>
        <w:t>蛋白表达，</w:t>
      </w:r>
      <w:r>
        <w:t>Caspase-3</w:t>
      </w:r>
      <w:r>
        <w:t>活性，</w:t>
      </w:r>
      <w:r>
        <w:t>Bcl-2</w:t>
      </w:r>
      <w:r>
        <w:t>、</w:t>
      </w:r>
      <w:r>
        <w:t>Bax</w:t>
      </w:r>
      <w:r>
        <w:t>及</w:t>
      </w:r>
      <w:r>
        <w:t>Caspase-3 mRNA</w:t>
      </w:r>
      <w:r>
        <w:t>表达），验证</w:t>
      </w:r>
      <w:r>
        <w:t>HF</w:t>
      </w:r>
      <w:r>
        <w:t>对铝暴露</w:t>
      </w:r>
      <w:r>
        <w:t>PC12</w:t>
      </w:r>
      <w:r>
        <w:t>细胞氧化损伤和凋亡的保护作用，并阐明其相关机制，为铝神经毒性的解除研究提供理论依据。试验结果如下：</w:t>
      </w:r>
    </w:p>
    <w:p w14:paraId="6770DE78" w14:textId="77777777" w:rsidR="00CB5FBB" w:rsidRDefault="00000000">
      <w:pPr>
        <w:ind w:firstLine="420"/>
      </w:pPr>
      <w:r>
        <w:t>（</w:t>
      </w:r>
      <w:r>
        <w:t>1</w:t>
      </w:r>
      <w:r>
        <w:t>）</w:t>
      </w:r>
      <w:proofErr w:type="gramStart"/>
      <w:r>
        <w:t>染铝组</w:t>
      </w:r>
      <w:proofErr w:type="gramEnd"/>
      <w:r>
        <w:t>PC12</w:t>
      </w:r>
      <w:r>
        <w:t>细胞活力显著低于对照组（</w:t>
      </w:r>
      <w:r>
        <w:t>p&lt;0.01</w:t>
      </w:r>
      <w:r>
        <w:t>），</w:t>
      </w:r>
      <w:r>
        <w:t>LDH</w:t>
      </w:r>
      <w:r>
        <w:t>释放量显著高于对照组（</w:t>
      </w:r>
      <w:r>
        <w:t>p&lt;0.01</w:t>
      </w:r>
      <w:r>
        <w:t>）；</w:t>
      </w:r>
      <w:r>
        <w:t>HF</w:t>
      </w:r>
      <w:proofErr w:type="gramStart"/>
      <w:r>
        <w:t>干预组</w:t>
      </w:r>
      <w:proofErr w:type="gramEnd"/>
      <w:r>
        <w:t>PC12</w:t>
      </w:r>
      <w:r>
        <w:t>细胞活力显著高于</w:t>
      </w:r>
      <w:proofErr w:type="gramStart"/>
      <w:r>
        <w:t>染铝组</w:t>
      </w:r>
      <w:proofErr w:type="gramEnd"/>
      <w:r>
        <w:t>（</w:t>
      </w:r>
      <w:r>
        <w:t>p&lt;0.01</w:t>
      </w:r>
      <w:r>
        <w:t>），</w:t>
      </w:r>
      <w:r>
        <w:t>LDH</w:t>
      </w:r>
      <w:r>
        <w:t>释放量显著低于</w:t>
      </w:r>
      <w:proofErr w:type="gramStart"/>
      <w:r>
        <w:t>染铝组</w:t>
      </w:r>
      <w:proofErr w:type="gramEnd"/>
      <w:r>
        <w:t>（</w:t>
      </w:r>
      <w:r>
        <w:t>p&lt;0.01</w:t>
      </w:r>
      <w:r>
        <w:t>）；</w:t>
      </w:r>
      <w:r>
        <w:t>HF</w:t>
      </w:r>
      <w:r>
        <w:t>组与对照组相比</w:t>
      </w:r>
      <w:r>
        <w:t>PC12</w:t>
      </w:r>
      <w:r>
        <w:t>细胞活力和</w:t>
      </w:r>
      <w:r>
        <w:t>LDH</w:t>
      </w:r>
      <w:r>
        <w:t>释放量无显著差异，表明</w:t>
      </w:r>
      <w:r>
        <w:t>HF</w:t>
      </w:r>
      <w:r>
        <w:t>可缓解铝诱导的</w:t>
      </w:r>
      <w:r>
        <w:t>PC12</w:t>
      </w:r>
      <w:r>
        <w:t>细胞损伤，且</w:t>
      </w:r>
      <w:r>
        <w:t>HF</w:t>
      </w:r>
      <w:r>
        <w:t>对</w:t>
      </w:r>
      <w:r>
        <w:t>PC12</w:t>
      </w:r>
      <w:r>
        <w:t>细胞无毒性作用。</w:t>
      </w:r>
    </w:p>
    <w:p w14:paraId="7013925C" w14:textId="77777777" w:rsidR="00CB5FBB" w:rsidRDefault="00000000">
      <w:pPr>
        <w:ind w:firstLine="420"/>
      </w:pPr>
      <w:r>
        <w:t>（</w:t>
      </w:r>
      <w:r>
        <w:t>2</w:t>
      </w:r>
      <w:r>
        <w:t>）扫描电镜观察可见，对照组和</w:t>
      </w:r>
      <w:r>
        <w:t>HF</w:t>
      </w:r>
      <w:r>
        <w:t>组</w:t>
      </w:r>
      <w:r>
        <w:t>PC12</w:t>
      </w:r>
      <w:r>
        <w:t>细胞生长良好，呈星形或金字塔形，细胞间连接完整；</w:t>
      </w:r>
      <w:proofErr w:type="gramStart"/>
      <w:r>
        <w:t>染铝组</w:t>
      </w:r>
      <w:proofErr w:type="gramEnd"/>
      <w:r>
        <w:t>PC12</w:t>
      </w:r>
      <w:r>
        <w:t>细胞变圆，细胞体收缩，细胞膜完整性丧失，细胞表面形成凋亡小体；</w:t>
      </w:r>
      <w:r>
        <w:t>HF</w:t>
      </w:r>
      <w:proofErr w:type="gramStart"/>
      <w:r>
        <w:t>干预组</w:t>
      </w:r>
      <w:proofErr w:type="gramEnd"/>
      <w:r>
        <w:t>PC12</w:t>
      </w:r>
      <w:r>
        <w:t>细胞形态和细胞间连接恢复正常，且凋亡小体减少，表明</w:t>
      </w:r>
      <w:r>
        <w:t>HF</w:t>
      </w:r>
      <w:r>
        <w:t>可缓解铝诱导的</w:t>
      </w:r>
      <w:r>
        <w:t>PC12</w:t>
      </w:r>
      <w:r>
        <w:t>细胞形态损伤。</w:t>
      </w:r>
    </w:p>
    <w:p w14:paraId="39E2BB6C" w14:textId="77777777" w:rsidR="00CB5FBB" w:rsidRDefault="00000000">
      <w:pPr>
        <w:ind w:firstLine="420"/>
      </w:pPr>
      <w:r>
        <w:t>上述结果说明，</w:t>
      </w:r>
      <w:r>
        <w:t>HF</w:t>
      </w:r>
      <w:r>
        <w:t>可有效缓解铝诱导的</w:t>
      </w:r>
      <w:r>
        <w:t>PC12</w:t>
      </w:r>
      <w:r>
        <w:t>细胞氧化损伤和凋亡，研究结果可为缓解铝的神经毒性提供理论基础和试验依据。</w:t>
      </w:r>
    </w:p>
    <w:p w14:paraId="4A3CFC92" w14:textId="77777777" w:rsidR="00CB5FBB" w:rsidRDefault="00CB5FBB">
      <w:pPr>
        <w:ind w:firstLine="420"/>
      </w:pPr>
    </w:p>
    <w:p w14:paraId="20B23AD1" w14:textId="3460E173" w:rsidR="00CB5FBB" w:rsidRDefault="00000000" w:rsidP="00A11AB0">
      <w:pPr>
        <w:ind w:firstLineChars="0" w:firstLine="0"/>
        <w:sectPr w:rsidR="00CB5FBB">
          <w:pgSz w:w="11906" w:h="16838"/>
          <w:pgMar w:top="1440" w:right="1800" w:bottom="1440" w:left="1800" w:header="1077" w:footer="992" w:gutter="0"/>
          <w:cols w:space="425"/>
          <w:docGrid w:type="lines" w:linePitch="312"/>
        </w:sectPr>
      </w:pPr>
      <w:r w:rsidRPr="00A11AB0">
        <w:rPr>
          <w:b/>
          <w:bCs/>
        </w:rPr>
        <w:t>关键词</w:t>
      </w:r>
      <w:r>
        <w:t>：</w:t>
      </w:r>
      <w:proofErr w:type="gramStart"/>
      <w:r>
        <w:t>贯叶金</w:t>
      </w:r>
      <w:proofErr w:type="gramEnd"/>
      <w:r>
        <w:t>丝桃素；麦芽</w:t>
      </w:r>
      <w:proofErr w:type="gramStart"/>
      <w:r>
        <w:t>酚</w:t>
      </w:r>
      <w:proofErr w:type="gramEnd"/>
      <w:r>
        <w:t>铝；氧化损伤；细胞凋亡；</w:t>
      </w:r>
      <w:r>
        <w:t>PC12</w:t>
      </w:r>
      <w:r>
        <w:t>细胞</w:t>
      </w:r>
      <w:permEnd w:id="1428183885"/>
    </w:p>
    <w:p w14:paraId="70872C3B" w14:textId="77777777" w:rsidR="00CB5FBB" w:rsidRDefault="00000000">
      <w:pPr>
        <w:pStyle w:val="af6"/>
        <w:rPr>
          <w:rFonts w:hint="eastAsia"/>
        </w:rPr>
      </w:pPr>
      <w:bookmarkStart w:id="3" w:name="_Toc232419401"/>
      <w:r>
        <w:rPr>
          <w:rFonts w:hint="eastAsia"/>
        </w:rPr>
        <w:lastRenderedPageBreak/>
        <w:t xml:space="preserve">1 </w:t>
      </w:r>
      <w:r>
        <w:t>前</w:t>
      </w:r>
      <w:r>
        <w:rPr>
          <w:rFonts w:hint="eastAsia"/>
        </w:rPr>
        <w:t xml:space="preserve"> </w:t>
      </w:r>
      <w:r>
        <w:t>言</w:t>
      </w:r>
      <w:bookmarkEnd w:id="3"/>
    </w:p>
    <w:p w14:paraId="0CB8B824" w14:textId="77777777" w:rsidR="00CB5FBB" w:rsidRDefault="00000000">
      <w:pPr>
        <w:pStyle w:val="afe"/>
      </w:pPr>
      <w:r>
        <w:rPr>
          <w:rFonts w:hint="eastAsia"/>
        </w:rPr>
        <w:t>[</w:t>
      </w:r>
      <w:r>
        <w:rPr>
          <w:rFonts w:hint="eastAsia"/>
        </w:rPr>
        <w:t>前言的撰写可类比知识科普式的逻辑铺陈，遵循由大到小、层层递进的写作思路：先从核心研究对象的基础定义入手，明确其内涵、存在形式及环境分布等基本概况；再逐步拓展至其全球污染特征、环境归趋等宏观现状；随后向生命科学领域过渡，结合生物链传递、人体</w:t>
      </w:r>
      <w:r>
        <w:rPr>
          <w:rFonts w:hint="eastAsia"/>
        </w:rPr>
        <w:t xml:space="preserve"> / </w:t>
      </w:r>
      <w:r>
        <w:rPr>
          <w:rFonts w:hint="eastAsia"/>
        </w:rPr>
        <w:t>动物体内蓄积等机制，将研究视角聚焦至生物机体层面；进而阐述其多器官毒性效应，并逐步聚焦至具体靶器官等核心研究内容；最后基于现有国内外研究进展，凝练提出本研究拟解决的科学问题或研究假设，在阐述中逐渐搭建起论文的整体研究框架。</w:t>
      </w:r>
      <w:r>
        <w:rPr>
          <w:rFonts w:hint="eastAsia"/>
          <w:color w:val="EE0000"/>
          <w14:textFill>
            <w14:solidFill>
              <w14:srgbClr w14:val="EE0000">
                <w14:lumMod w14:val="75000"/>
                <w14:lumOff w14:val="25000"/>
              </w14:srgbClr>
            </w14:solidFill>
          </w14:textFill>
        </w:rPr>
        <w:t>科技论文的写作，有时候遵从“总</w:t>
      </w:r>
      <w:r>
        <w:rPr>
          <w:rFonts w:hint="eastAsia"/>
          <w:color w:val="EE0000"/>
          <w14:textFill>
            <w14:solidFill>
              <w14:srgbClr w14:val="EE0000">
                <w14:lumMod w14:val="75000"/>
                <w14:lumOff w14:val="25000"/>
              </w14:srgbClr>
            </w14:solidFill>
          </w14:textFill>
        </w:rPr>
        <w:t>-</w:t>
      </w:r>
      <w:r>
        <w:rPr>
          <w:rFonts w:hint="eastAsia"/>
          <w:color w:val="EE0000"/>
          <w14:textFill>
            <w14:solidFill>
              <w14:srgbClr w14:val="EE0000">
                <w14:lumMod w14:val="75000"/>
                <w14:lumOff w14:val="25000"/>
              </w14:srgbClr>
            </w14:solidFill>
          </w14:textFill>
        </w:rPr>
        <w:t>分</w:t>
      </w:r>
      <w:r>
        <w:rPr>
          <w:rFonts w:hint="eastAsia"/>
          <w:color w:val="EE0000"/>
          <w14:textFill>
            <w14:solidFill>
              <w14:srgbClr w14:val="EE0000">
                <w14:lumMod w14:val="75000"/>
                <w14:lumOff w14:val="25000"/>
              </w14:srgbClr>
            </w14:solidFill>
          </w14:textFill>
        </w:rPr>
        <w:t>-</w:t>
      </w:r>
      <w:r>
        <w:rPr>
          <w:rFonts w:hint="eastAsia"/>
          <w:color w:val="EE0000"/>
          <w14:textFill>
            <w14:solidFill>
              <w14:srgbClr w14:val="EE0000">
                <w14:lumMod w14:val="75000"/>
                <w14:lumOff w14:val="25000"/>
              </w14:srgbClr>
            </w14:solidFill>
          </w14:textFill>
        </w:rPr>
        <w:t>总”的形式，先总结概况（</w:t>
      </w:r>
      <w:proofErr w:type="gramStart"/>
      <w:r>
        <w:rPr>
          <w:rFonts w:hint="eastAsia"/>
          <w:color w:val="EE0000"/>
          <w14:textFill>
            <w14:solidFill>
              <w14:srgbClr w14:val="EE0000">
                <w14:lumMod w14:val="75000"/>
                <w14:lumOff w14:val="25000"/>
              </w14:srgbClr>
            </w14:solidFill>
          </w14:textFill>
        </w:rPr>
        <w:t>前言第</w:t>
      </w:r>
      <w:proofErr w:type="gramEnd"/>
      <w:r>
        <w:rPr>
          <w:rFonts w:hint="eastAsia"/>
          <w:color w:val="EE0000"/>
          <w14:textFill>
            <w14:solidFill>
              <w14:srgbClr w14:val="EE0000">
                <w14:lumMod w14:val="75000"/>
                <w14:lumOff w14:val="25000"/>
              </w14:srgbClr>
            </w14:solidFill>
          </w14:textFill>
        </w:rPr>
        <w:t>一段），再分头叙述（前言各个小标题），再进行总结性的表述（目的与意义）。</w:t>
      </w:r>
      <w:r>
        <w:rPr>
          <w:rFonts w:hint="eastAsia"/>
        </w:rPr>
        <w:t>字数控制在</w:t>
      </w:r>
      <w:r>
        <w:rPr>
          <w:rFonts w:hint="eastAsia"/>
        </w:rPr>
        <w:t>7500</w:t>
      </w:r>
      <w:r>
        <w:rPr>
          <w:rFonts w:hint="eastAsia"/>
        </w:rPr>
        <w:t>字以内，只允许设置两级标题，为了防止文章赘述不建议设置</w:t>
      </w:r>
      <w:r>
        <w:rPr>
          <w:rFonts w:hint="eastAsia"/>
        </w:rPr>
        <w:t>1.1.1.1</w:t>
      </w:r>
      <w:r>
        <w:rPr>
          <w:rFonts w:hint="eastAsia"/>
        </w:rPr>
        <w:t>类的四级标题。范文如下</w:t>
      </w:r>
      <w:r>
        <w:rPr>
          <w:rFonts w:hint="eastAsia"/>
        </w:rPr>
        <w:t>]</w:t>
      </w:r>
    </w:p>
    <w:p w14:paraId="257CF55A" w14:textId="77777777" w:rsidR="00CB5FBB" w:rsidRDefault="00000000">
      <w:pPr>
        <w:ind w:firstLine="420"/>
      </w:pPr>
      <w:permStart w:id="1001942918" w:edGrp="everyone"/>
      <w:r>
        <w:t>铝（</w:t>
      </w:r>
      <w:r>
        <w:t>Al</w:t>
      </w:r>
      <w:r>
        <w:t>）是地壳中含量最丰富的</w:t>
      </w:r>
      <w:r>
        <w:rPr>
          <w:rFonts w:hint="eastAsia"/>
        </w:rPr>
        <w:t>金属</w:t>
      </w:r>
      <w:r>
        <w:t>元素，约占地壳总量的</w:t>
      </w:r>
      <w:r>
        <w:t>8.8%</w:t>
      </w:r>
      <w:r>
        <w:t>，以不溶解的硅铝酸</w:t>
      </w:r>
      <w:proofErr w:type="gramStart"/>
      <w:r>
        <w:t>盐形式</w:t>
      </w:r>
      <w:proofErr w:type="gramEnd"/>
      <w:r>
        <w:t>存在于土壤、矿物和岩石中</w:t>
      </w:r>
      <w:r>
        <w:rPr>
          <w:vertAlign w:val="superscript"/>
        </w:rPr>
        <w:t>[1]</w:t>
      </w:r>
      <w:r>
        <w:t>。长期以来，铝被认为</w:t>
      </w:r>
      <w:r>
        <w:rPr>
          <w:rFonts w:hint="eastAsia"/>
        </w:rPr>
        <w:t>是无</w:t>
      </w:r>
      <w:r>
        <w:t>毒</w:t>
      </w:r>
      <w:r>
        <w:rPr>
          <w:rFonts w:hint="eastAsia"/>
        </w:rPr>
        <w:t>元素，且因其</w:t>
      </w:r>
      <w:r>
        <w:t>具有良好的理化性质被广泛应用于国防、食品、医药及工农业生产等方面，成为人们生活</w:t>
      </w:r>
      <w:r>
        <w:rPr>
          <w:rFonts w:hint="eastAsia"/>
        </w:rPr>
        <w:t>中</w:t>
      </w:r>
      <w:r>
        <w:t>不可或缺的一部分</w:t>
      </w:r>
      <w:r>
        <w:rPr>
          <w:vertAlign w:val="superscript"/>
        </w:rPr>
        <w:t>[2]</w:t>
      </w:r>
      <w:r>
        <w:t>。然而，其广泛应用</w:t>
      </w:r>
      <w:r>
        <w:rPr>
          <w:rFonts w:hint="eastAsia"/>
        </w:rPr>
        <w:t>极大</w:t>
      </w:r>
      <w:r>
        <w:t>地增加</w:t>
      </w:r>
      <w:r>
        <w:rPr>
          <w:rFonts w:hint="eastAsia"/>
        </w:rPr>
        <w:t>了</w:t>
      </w:r>
      <w:r>
        <w:t>人和动物接触摄入铝的机会，使机体铝负荷逐渐增高，终因</w:t>
      </w:r>
      <w:r>
        <w:rPr>
          <w:rFonts w:hint="eastAsia"/>
        </w:rPr>
        <w:t>其</w:t>
      </w:r>
      <w:r>
        <w:t>排泄速度小于摄入速度而发生蓄积</w:t>
      </w:r>
      <w:r>
        <w:rPr>
          <w:rFonts w:hint="eastAsia"/>
        </w:rPr>
        <w:t>，</w:t>
      </w:r>
      <w:r>
        <w:t>引起毒性作用。长期铝暴露</w:t>
      </w:r>
      <w:r>
        <w:rPr>
          <w:rFonts w:hint="eastAsia"/>
        </w:rPr>
        <w:t>或</w:t>
      </w:r>
      <w:r>
        <w:t>摄入铝超标可对神经系统</w:t>
      </w:r>
      <w:r>
        <w:rPr>
          <w:rFonts w:hint="eastAsia"/>
        </w:rPr>
        <w:t>、</w:t>
      </w:r>
      <w:r>
        <w:t>造血系统</w:t>
      </w:r>
      <w:r>
        <w:rPr>
          <w:rFonts w:hint="eastAsia"/>
        </w:rPr>
        <w:t>、</w:t>
      </w:r>
      <w:r>
        <w:t>骨骼</w:t>
      </w:r>
      <w:r>
        <w:rPr>
          <w:rFonts w:hint="eastAsia"/>
        </w:rPr>
        <w:t>、</w:t>
      </w:r>
      <w:r>
        <w:t>泌尿系统</w:t>
      </w:r>
      <w:r>
        <w:rPr>
          <w:rFonts w:hint="eastAsia"/>
        </w:rPr>
        <w:t>、</w:t>
      </w:r>
      <w:r>
        <w:t>生殖系统</w:t>
      </w:r>
      <w:r>
        <w:rPr>
          <w:rFonts w:hint="eastAsia"/>
        </w:rPr>
        <w:t>、</w:t>
      </w:r>
      <w:r>
        <w:t>呼吸系统和免疫系统</w:t>
      </w:r>
      <w:r>
        <w:rPr>
          <w:rFonts w:hint="eastAsia"/>
        </w:rPr>
        <w:t>产生</w:t>
      </w:r>
      <w:r>
        <w:t>毒性</w:t>
      </w:r>
      <w:r>
        <w:rPr>
          <w:rFonts w:hint="eastAsia"/>
        </w:rPr>
        <w:t>作用</w:t>
      </w:r>
      <w:r>
        <w:rPr>
          <w:vertAlign w:val="superscript"/>
        </w:rPr>
        <w:t>[3]</w:t>
      </w:r>
      <w:r>
        <w:t>。大脑被认为是铝积累的主要靶器官，铝可改变血脑屏障（</w:t>
      </w:r>
      <w:r>
        <w:t>BBB</w:t>
      </w:r>
      <w:r>
        <w:t>）</w:t>
      </w:r>
      <w:r>
        <w:rPr>
          <w:rFonts w:hint="eastAsia"/>
        </w:rPr>
        <w:t>通透性，</w:t>
      </w:r>
      <w:r>
        <w:t>进入中枢神经系统（</w:t>
      </w:r>
      <w:r>
        <w:t>CNS</w:t>
      </w:r>
      <w:r>
        <w:t>）干扰</w:t>
      </w:r>
      <w:r>
        <w:rPr>
          <w:rFonts w:hint="eastAsia"/>
        </w:rPr>
        <w:t>大</w:t>
      </w:r>
      <w:r>
        <w:t>脑的意识与记忆功能，</w:t>
      </w:r>
      <w:r>
        <w:rPr>
          <w:rFonts w:hint="eastAsia"/>
        </w:rPr>
        <w:t>导致人类</w:t>
      </w:r>
      <w:r>
        <w:t>和动物视觉</w:t>
      </w:r>
      <w:r>
        <w:t>-</w:t>
      </w:r>
      <w:r>
        <w:t>运动协调失灵，认知能力、记忆能力、逻辑推理能力下降</w:t>
      </w:r>
      <w:r>
        <w:rPr>
          <w:rFonts w:hint="eastAsia"/>
        </w:rPr>
        <w:t>。另外，动物在采食富含铝饲料过程中磷酸铝过量的摄入会影响动物钙磷吸收，致使骨钙化过程受影响，诱发动物铝骨病的发生，影响动物生产性能</w:t>
      </w:r>
      <w:r>
        <w:rPr>
          <w:vertAlign w:val="superscript"/>
        </w:rPr>
        <w:t>[4]</w:t>
      </w:r>
      <w:r>
        <w:rPr>
          <w:rFonts w:hint="eastAsia"/>
        </w:rPr>
        <w:t>。此外</w:t>
      </w:r>
      <w:r>
        <w:t>，过量铝</w:t>
      </w:r>
      <w:r>
        <w:rPr>
          <w:rFonts w:hint="eastAsia"/>
        </w:rPr>
        <w:t>可</w:t>
      </w:r>
      <w:r>
        <w:t>影响植物生长，因根部发育受阻而死亡</w:t>
      </w:r>
      <w:r>
        <w:rPr>
          <w:rFonts w:hint="eastAsia"/>
        </w:rPr>
        <w:t>，</w:t>
      </w:r>
      <w:r>
        <w:t>最终影响粮食产量</w:t>
      </w:r>
      <w:r>
        <w:rPr>
          <w:vertAlign w:val="superscript"/>
        </w:rPr>
        <w:t>[5]</w:t>
      </w:r>
      <w:r>
        <w:t>。</w:t>
      </w:r>
      <w:r>
        <w:t>1989</w:t>
      </w:r>
      <w:r>
        <w:t>年世界卫生组织和联合国粮农组织</w:t>
      </w:r>
      <w:r>
        <w:t>(WHO/FAO)</w:t>
      </w:r>
      <w:r>
        <w:t>正式将铝确定为食品污染物加以控制，并暂定人体铝的周耐受摄入量</w:t>
      </w:r>
      <w:r>
        <w:t>(PTWI)</w:t>
      </w:r>
      <w:r>
        <w:t>为</w:t>
      </w:r>
      <w:r>
        <w:t>7 mg/kg</w:t>
      </w:r>
      <w:r>
        <w:t>体重</w:t>
      </w:r>
      <w:r>
        <w:rPr>
          <w:vertAlign w:val="superscript"/>
        </w:rPr>
        <w:t>[2]</w:t>
      </w:r>
      <w:r>
        <w:t>。</w:t>
      </w:r>
      <w:r>
        <w:t>2005</w:t>
      </w:r>
      <w:r>
        <w:t>年我国《食物中污染物限量》（</w:t>
      </w:r>
      <w:r>
        <w:t>GB 2762-2005</w:t>
      </w:r>
      <w:r>
        <w:t>）也规定面制食品中铝的残留量应低于</w:t>
      </w:r>
      <w:r>
        <w:t>100 mg/kg</w:t>
      </w:r>
      <w:r>
        <w:rPr>
          <w:vertAlign w:val="superscript"/>
        </w:rPr>
        <w:t>[6]</w:t>
      </w:r>
      <w:r>
        <w:t>。虽然对铝的使用做出</w:t>
      </w:r>
      <w:r>
        <w:rPr>
          <w:rFonts w:hint="eastAsia"/>
        </w:rPr>
        <w:t>多种</w:t>
      </w:r>
      <w:r>
        <w:t>限制措施，但由于</w:t>
      </w:r>
      <w:r>
        <w:rPr>
          <w:rFonts w:hint="eastAsia"/>
        </w:rPr>
        <w:t>含铝</w:t>
      </w:r>
      <w:r>
        <w:t>食品添加剂的</w:t>
      </w:r>
      <w:r>
        <w:rPr>
          <w:rFonts w:hint="eastAsia"/>
        </w:rPr>
        <w:t>应</w:t>
      </w:r>
      <w:r>
        <w:t>用、铝工业的发展以及生态环境的破坏，国内外仍有相当多关于食品铝超标及污染现象的报道。</w:t>
      </w:r>
      <w:r>
        <w:t>2006</w:t>
      </w:r>
      <w:r>
        <w:t>年广西疾病预防控制中心对市售面点中铝的污染情况进行调查，结果发现部分面点中铝残留量严重超标，尤其是油条类，合格率仅为</w:t>
      </w:r>
      <w:r>
        <w:t>4.8%</w:t>
      </w:r>
      <w:r>
        <w:rPr>
          <w:vertAlign w:val="superscript"/>
        </w:rPr>
        <w:t>[6]</w:t>
      </w:r>
      <w:r>
        <w:t>。</w:t>
      </w:r>
      <w:r>
        <w:t>2008</w:t>
      </w:r>
      <w:r>
        <w:t>年深圳市部分超市、酒楼、摊档、集体食堂等经营的面制食品中铝含量超标严重，其中油条合格率仅为</w:t>
      </w:r>
      <w:r>
        <w:t>16.7%</w:t>
      </w:r>
      <w:r>
        <w:rPr>
          <w:vertAlign w:val="superscript"/>
        </w:rPr>
        <w:t>[7]</w:t>
      </w:r>
      <w:r>
        <w:t>。另有研究表明，铝作业工厂工人肺通气功能严重受损</w:t>
      </w:r>
      <w:r>
        <w:rPr>
          <w:vertAlign w:val="superscript"/>
        </w:rPr>
        <w:t>[8]</w:t>
      </w:r>
      <w:r>
        <w:t>。</w:t>
      </w:r>
      <w:r>
        <w:t>2011</w:t>
      </w:r>
      <w:r>
        <w:t>年加拿大环境污染学教授</w:t>
      </w:r>
      <w:proofErr w:type="spellStart"/>
      <w:r>
        <w:t>Boullemant</w:t>
      </w:r>
      <w:proofErr w:type="spellEnd"/>
      <w:r>
        <w:t>研究表明，</w:t>
      </w:r>
      <w:r>
        <w:t>PM2.5</w:t>
      </w:r>
      <w:r>
        <w:t>的主要成分为铝盐颗粒</w:t>
      </w:r>
      <w:r>
        <w:rPr>
          <w:vertAlign w:val="superscript"/>
        </w:rPr>
        <w:t>[9]</w:t>
      </w:r>
      <w:r>
        <w:t>，而我国铝冶炼产生的</w:t>
      </w:r>
      <w:r>
        <w:t>PM2.5</w:t>
      </w:r>
      <w:r>
        <w:t>粉尘达</w:t>
      </w:r>
      <w:r>
        <w:t xml:space="preserve">80~100 </w:t>
      </w:r>
      <w:r>
        <w:t>万吨</w:t>
      </w:r>
      <w:r>
        <w:t>/</w:t>
      </w:r>
      <w:r>
        <w:t>年</w:t>
      </w:r>
      <w:r>
        <w:rPr>
          <w:vertAlign w:val="superscript"/>
        </w:rPr>
        <w:t>[10]</w:t>
      </w:r>
      <w:r>
        <w:t>。因此，</w:t>
      </w:r>
      <w:r>
        <w:t>2011</w:t>
      </w:r>
      <w:r>
        <w:t>年</w:t>
      </w:r>
      <w:r>
        <w:t>WHO/FAO</w:t>
      </w:r>
      <w:r>
        <w:t>重新规定人体铝的</w:t>
      </w:r>
      <w:r>
        <w:t>PTWI</w:t>
      </w:r>
      <w:r>
        <w:t>为</w:t>
      </w:r>
      <w:r>
        <w:t>2 mg/kg</w:t>
      </w:r>
      <w:r>
        <w:t>体重</w:t>
      </w:r>
      <w:r>
        <w:rPr>
          <w:vertAlign w:val="superscript"/>
        </w:rPr>
        <w:t>[11]</w:t>
      </w:r>
      <w:r>
        <w:t>。</w:t>
      </w:r>
      <w:r>
        <w:t>2013</w:t>
      </w:r>
      <w:r>
        <w:t>年广西市居民膳食营养调查中，市售面制食品中铝的残留量</w:t>
      </w:r>
      <w:r>
        <w:lastRenderedPageBreak/>
        <w:t>严重超标，监测的</w:t>
      </w:r>
      <w:r>
        <w:t>4148</w:t>
      </w:r>
      <w:r>
        <w:t>份面制食品中，平均铝含量为</w:t>
      </w:r>
      <w:r>
        <w:t>157.81 mg/kg</w:t>
      </w:r>
      <w:r>
        <w:t>，铝超标率为</w:t>
      </w:r>
      <w:r>
        <w:t>35.29%</w:t>
      </w:r>
      <w:r>
        <w:t>，油炸食品类超标率最高，为</w:t>
      </w:r>
      <w:r>
        <w:t>62.57%</w:t>
      </w:r>
      <w:r>
        <w:rPr>
          <w:vertAlign w:val="superscript"/>
        </w:rPr>
        <w:t>[12]</w:t>
      </w:r>
      <w:r>
        <w:t>。同年欧洲食品安全管理局调查显示，婴儿和儿童铝的周摄入量分别高达</w:t>
      </w:r>
      <w:r>
        <w:t>11.3~156.2 mg/kg</w:t>
      </w:r>
      <w:r>
        <w:t>和</w:t>
      </w:r>
      <w:r>
        <w:t>26.9~286.8 mg/kg</w:t>
      </w:r>
      <w:r>
        <w:rPr>
          <w:vertAlign w:val="superscript"/>
        </w:rPr>
        <w:t>[13]</w:t>
      </w:r>
      <w:r>
        <w:t>。</w:t>
      </w:r>
      <w:r>
        <w:t>2014</w:t>
      </w:r>
      <w:r>
        <w:t>年</w:t>
      </w:r>
      <w:r>
        <w:t>WHO</w:t>
      </w:r>
      <w:r>
        <w:t>调查发现铝过量摄入会影响儿童及青少年对铁、锌、钙等吸收，严重危害人类健康</w:t>
      </w:r>
      <w:r>
        <w:rPr>
          <w:vertAlign w:val="superscript"/>
        </w:rPr>
        <w:t>[14]</w:t>
      </w:r>
      <w:r>
        <w:t>。同年英国权威专家</w:t>
      </w:r>
      <w:r>
        <w:t>Exley</w:t>
      </w:r>
      <w:r>
        <w:t>教授报道指出铝在大脑中积累会加剧老年痴呆症等</w:t>
      </w:r>
      <w:r>
        <w:rPr>
          <w:rFonts w:hint="eastAsia"/>
        </w:rPr>
        <w:t>神经退行性疾病。</w:t>
      </w:r>
      <w:r>
        <w:t>并有流行病学调查</w:t>
      </w:r>
      <w:r>
        <w:rPr>
          <w:rFonts w:hint="eastAsia"/>
        </w:rPr>
        <w:t>显示，</w:t>
      </w:r>
      <w:proofErr w:type="gramStart"/>
      <w:r>
        <w:t>铝引起</w:t>
      </w:r>
      <w:proofErr w:type="gramEnd"/>
      <w:r>
        <w:t>的老年痴呆患者</w:t>
      </w:r>
      <w:r>
        <w:rPr>
          <w:rFonts w:hint="eastAsia"/>
        </w:rPr>
        <w:t>人数</w:t>
      </w:r>
      <w:r>
        <w:t>正以每年</w:t>
      </w:r>
      <w:r>
        <w:t>250</w:t>
      </w:r>
      <w:r>
        <w:t>万的速度增加</w:t>
      </w:r>
      <w:r>
        <w:rPr>
          <w:vertAlign w:val="superscript"/>
        </w:rPr>
        <w:t>[15]</w:t>
      </w:r>
      <w:r>
        <w:t>。尽管我国国家卫生计生委在</w:t>
      </w:r>
      <w:r>
        <w:t>2014</w:t>
      </w:r>
      <w:r>
        <w:t>年发布公告明令禁止含铝食品添加剂在面制食品生产中使用</w:t>
      </w:r>
      <w:r>
        <w:rPr>
          <w:vertAlign w:val="superscript"/>
        </w:rPr>
        <w:t>[16]</w:t>
      </w:r>
      <w:r>
        <w:t>，且我国国务院也在</w:t>
      </w:r>
      <w:r>
        <w:t>2016</w:t>
      </w:r>
      <w:r>
        <w:t>年明确规定，各地不得以任何方式新增电解铝产能</w:t>
      </w:r>
      <w:r>
        <w:rPr>
          <w:vertAlign w:val="superscript"/>
        </w:rPr>
        <w:t>[17]</w:t>
      </w:r>
      <w:r>
        <w:t>。但人们依旧饱受</w:t>
      </w:r>
      <w:proofErr w:type="gramStart"/>
      <w:r>
        <w:t>铝污染</w:t>
      </w:r>
      <w:proofErr w:type="gramEnd"/>
      <w:r>
        <w:t>的毒害。因此，如何有效降低</w:t>
      </w:r>
      <w:proofErr w:type="gramStart"/>
      <w:r>
        <w:t>铝污染</w:t>
      </w:r>
      <w:proofErr w:type="gramEnd"/>
      <w:r>
        <w:t>和防治铝毒</w:t>
      </w:r>
      <w:proofErr w:type="gramStart"/>
      <w:r>
        <w:t>害成为</w:t>
      </w:r>
      <w:proofErr w:type="gramEnd"/>
      <w:r>
        <w:t>人类亟需攻克的热门课题和研究热点。</w:t>
      </w:r>
    </w:p>
    <w:p w14:paraId="45DD40FB" w14:textId="77777777" w:rsidR="00CB5FBB" w:rsidRDefault="00000000">
      <w:pPr>
        <w:ind w:firstLine="420"/>
      </w:pPr>
      <w:r>
        <w:t>铝是一种强蓄积性的神经毒物，其诱导的空间记忆障碍与脑中的铝含量和铝化合物的形式密切相关</w:t>
      </w:r>
      <w:r>
        <w:rPr>
          <w:rFonts w:hint="eastAsia"/>
        </w:rPr>
        <w:t>，</w:t>
      </w:r>
      <w:r>
        <w:t>不同的含铝化合物表现出不同的毒性。乳酸铝，氯化铝和柠檬酸铝是研究神经毒性的常</w:t>
      </w:r>
      <w:r>
        <w:rPr>
          <w:rFonts w:hint="eastAsia"/>
        </w:rPr>
        <w:t>用</w:t>
      </w:r>
      <w:r>
        <w:t>铝盐</w:t>
      </w:r>
      <w:r>
        <w:rPr>
          <w:rFonts w:hint="eastAsia"/>
        </w:rPr>
        <w:t>，</w:t>
      </w:r>
      <w:r>
        <w:t>这些铝盐在正常</w:t>
      </w:r>
      <w:r>
        <w:t>pH</w:t>
      </w:r>
      <w:r>
        <w:t>条件下易水解形成</w:t>
      </w:r>
      <w:r>
        <w:rPr>
          <w:rFonts w:hint="eastAsia"/>
        </w:rPr>
        <w:t>氢氧化铝（</w:t>
      </w:r>
      <w:r>
        <w:t>Al</w:t>
      </w:r>
      <w:r>
        <w:t>（</w:t>
      </w:r>
      <w:r>
        <w:t>OH</w:t>
      </w:r>
      <w:r>
        <w:t>）</w:t>
      </w:r>
      <w:r>
        <w:rPr>
          <w:vertAlign w:val="subscript"/>
        </w:rPr>
        <w:t>3</w:t>
      </w:r>
      <w:r>
        <w:rPr>
          <w:rFonts w:hint="eastAsia"/>
        </w:rPr>
        <w:t>）</w:t>
      </w:r>
      <w:r>
        <w:t>沉淀，这会</w:t>
      </w:r>
      <w:r>
        <w:rPr>
          <w:rFonts w:hint="eastAsia"/>
        </w:rPr>
        <w:t>减</w:t>
      </w:r>
      <w:r>
        <w:t>低脑中铝含量及其生物利用度</w:t>
      </w:r>
      <w:r>
        <w:rPr>
          <w:vertAlign w:val="superscript"/>
        </w:rPr>
        <w:t>[18-20]</w:t>
      </w:r>
      <w:r>
        <w:t>。</w:t>
      </w:r>
      <w:r>
        <w:rPr>
          <w:rFonts w:hint="eastAsia"/>
        </w:rPr>
        <w:t>麦芽</w:t>
      </w:r>
      <w:proofErr w:type="gramStart"/>
      <w:r>
        <w:rPr>
          <w:rFonts w:hint="eastAsia"/>
        </w:rPr>
        <w:t>酚</w:t>
      </w:r>
      <w:proofErr w:type="gramEnd"/>
      <w:r>
        <w:rPr>
          <w:rFonts w:hint="eastAsia"/>
        </w:rPr>
        <w:t>铝</w:t>
      </w:r>
      <w:r>
        <w:t>（</w:t>
      </w:r>
      <w:r>
        <w:t>Al-malt</w:t>
      </w:r>
      <w:r>
        <w:t>）对动物和神经细胞的毒性高于乳酸铝或氯化铝</w:t>
      </w:r>
      <w:r>
        <w:rPr>
          <w:vertAlign w:val="superscript"/>
        </w:rPr>
        <w:t>[18-20]</w:t>
      </w:r>
      <w:r>
        <w:rPr>
          <w:rFonts w:hint="eastAsia"/>
        </w:rPr>
        <w:t>,</w:t>
      </w:r>
      <w:r>
        <w:t>是近年来被用于</w:t>
      </w:r>
      <w:r>
        <w:t>Al</w:t>
      </w:r>
      <w:r>
        <w:t>神经毒性研究的新型铝盐</w:t>
      </w:r>
      <w:r>
        <w:rPr>
          <w:rFonts w:hint="eastAsia"/>
        </w:rPr>
        <w:t>，</w:t>
      </w:r>
      <w:r>
        <w:t>因</w:t>
      </w:r>
      <w:r>
        <w:rPr>
          <w:rFonts w:hint="eastAsia"/>
        </w:rPr>
        <w:t>其</w:t>
      </w:r>
      <w:r>
        <w:t>在生理</w:t>
      </w:r>
      <w:r>
        <w:t>pH</w:t>
      </w:r>
      <w:r>
        <w:t>条件下不会形成不溶性的</w:t>
      </w:r>
      <w:r>
        <w:t>Al</w:t>
      </w:r>
      <w:r>
        <w:t>（</w:t>
      </w:r>
      <w:r>
        <w:t>OH</w:t>
      </w:r>
      <w:r>
        <w:t>）</w:t>
      </w:r>
      <w:r>
        <w:rPr>
          <w:vertAlign w:val="subscript"/>
        </w:rPr>
        <w:t>3</w:t>
      </w:r>
      <w:r>
        <w:t>沉淀，并释放出大量的</w:t>
      </w:r>
      <w:r>
        <w:t>Al</w:t>
      </w:r>
      <w:r>
        <w:rPr>
          <w:vertAlign w:val="superscript"/>
        </w:rPr>
        <w:t>3+</w:t>
      </w:r>
      <w:r>
        <w:t>可增加</w:t>
      </w:r>
      <w:r>
        <w:rPr>
          <w:rFonts w:hint="eastAsia"/>
        </w:rPr>
        <w:t>铝的</w:t>
      </w:r>
      <w:r>
        <w:t>解度，从而提高</w:t>
      </w:r>
      <w:r>
        <w:t>Al</w:t>
      </w:r>
      <w:r>
        <w:t>的生物利用度</w:t>
      </w:r>
      <w:r>
        <w:rPr>
          <w:vertAlign w:val="superscript"/>
        </w:rPr>
        <w:t>[21]</w:t>
      </w:r>
      <w:r>
        <w:t>。麦芽</w:t>
      </w:r>
      <w:proofErr w:type="gramStart"/>
      <w:r>
        <w:rPr>
          <w:rFonts w:hint="eastAsia"/>
        </w:rPr>
        <w:t>酚</w:t>
      </w:r>
      <w:proofErr w:type="gramEnd"/>
      <w:r>
        <w:rPr>
          <w:rFonts w:hint="eastAsia"/>
        </w:rPr>
        <w:t>（</w:t>
      </w:r>
      <w:r>
        <w:t>3-Hydroxy-2-methy-4-pyrone</w:t>
      </w:r>
      <w:r>
        <w:rPr>
          <w:rFonts w:hint="eastAsia"/>
        </w:rPr>
        <w:t>，</w:t>
      </w:r>
      <w:r>
        <w:rPr>
          <w:rFonts w:hint="eastAsia"/>
        </w:rPr>
        <w:t>maltolate</w:t>
      </w:r>
      <w:r>
        <w:rPr>
          <w:rFonts w:hint="eastAsia"/>
        </w:rPr>
        <w:t>）</w:t>
      </w:r>
      <w:r>
        <w:t>是人类饮食中的常见成分，它可以在蔗糖热解或淀粉热降解过程中形成</w:t>
      </w:r>
      <w:r>
        <w:rPr>
          <w:rFonts w:hint="eastAsia"/>
        </w:rPr>
        <w:t>，</w:t>
      </w:r>
      <w:r>
        <w:t>也是美国和澳大利亚批准的食品添加剂，用作咖啡和巧克力牛奶等饮料中的增味剂及作为面包和蛋糕中的调味剂</w:t>
      </w:r>
      <w:r>
        <w:rPr>
          <w:vertAlign w:val="superscript"/>
        </w:rPr>
        <w:t>[22]</w:t>
      </w:r>
      <w:r>
        <w:t>。</w:t>
      </w:r>
      <w:r>
        <w:rPr>
          <w:rFonts w:hint="eastAsia"/>
        </w:rPr>
        <w:t>由于麦芽</w:t>
      </w:r>
      <w:proofErr w:type="gramStart"/>
      <w:r>
        <w:rPr>
          <w:rFonts w:hint="eastAsia"/>
        </w:rPr>
        <w:t>酚</w:t>
      </w:r>
      <w:proofErr w:type="gramEnd"/>
      <w:r>
        <w:t>与</w:t>
      </w:r>
      <w:r>
        <w:t>Al</w:t>
      </w:r>
      <w:r>
        <w:t>的高亲和力，</w:t>
      </w:r>
      <w:r>
        <w:rPr>
          <w:rFonts w:hint="eastAsia"/>
        </w:rPr>
        <w:t>可</w:t>
      </w:r>
      <w:r>
        <w:t>在胃肠</w:t>
      </w:r>
      <w:r>
        <w:rPr>
          <w:rFonts w:hint="eastAsia"/>
        </w:rPr>
        <w:t>道</w:t>
      </w:r>
      <w:r>
        <w:t>中</w:t>
      </w:r>
      <w:r>
        <w:rPr>
          <w:rFonts w:hint="eastAsia"/>
        </w:rPr>
        <w:t>与</w:t>
      </w:r>
      <w:r>
        <w:rPr>
          <w:rFonts w:hint="eastAsia"/>
        </w:rPr>
        <w:t>A</w:t>
      </w:r>
      <w:r>
        <w:t>l</w:t>
      </w:r>
      <w:r>
        <w:rPr>
          <w:rFonts w:hint="eastAsia"/>
        </w:rPr>
        <w:t>结合</w:t>
      </w:r>
      <w:r>
        <w:t>形成</w:t>
      </w:r>
      <w:r>
        <w:t>Al-malt</w:t>
      </w:r>
      <w:r>
        <w:rPr>
          <w:vertAlign w:val="superscript"/>
        </w:rPr>
        <w:t>[23]</w:t>
      </w:r>
      <w:r>
        <w:t>。胃肠道是</w:t>
      </w:r>
      <w:r>
        <w:rPr>
          <w:rFonts w:hint="eastAsia"/>
        </w:rPr>
        <w:t>A</w:t>
      </w:r>
      <w:r>
        <w:t>l</w:t>
      </w:r>
      <w:r>
        <w:t>吸收的主要</w:t>
      </w:r>
      <w:r>
        <w:rPr>
          <w:rFonts w:hint="eastAsia"/>
        </w:rPr>
        <w:t>部位</w:t>
      </w:r>
      <w:r>
        <w:rPr>
          <w:vertAlign w:val="superscript"/>
        </w:rPr>
        <w:t>[24]</w:t>
      </w:r>
      <w:r>
        <w:t>，并且吸收的</w:t>
      </w:r>
      <w:r>
        <w:rPr>
          <w:rFonts w:hint="eastAsia"/>
        </w:rPr>
        <w:t>A</w:t>
      </w:r>
      <w:r>
        <w:t>l</w:t>
      </w:r>
      <w:r>
        <w:rPr>
          <w:rFonts w:hint="eastAsia"/>
        </w:rPr>
        <w:t>被</w:t>
      </w:r>
      <w:r>
        <w:t>分布在</w:t>
      </w:r>
      <w:r>
        <w:rPr>
          <w:vertAlign w:val="superscript"/>
        </w:rPr>
        <w:t>[25]</w:t>
      </w:r>
      <w:r>
        <w:t>。此外，</w:t>
      </w:r>
      <w:r>
        <w:rPr>
          <w:rFonts w:hint="eastAsia"/>
        </w:rPr>
        <w:t>由于</w:t>
      </w:r>
      <w:r>
        <w:t>Al-malt</w:t>
      </w:r>
      <w:r>
        <w:rPr>
          <w:rFonts w:hint="eastAsia"/>
        </w:rPr>
        <w:t>具有高</w:t>
      </w:r>
      <w:r>
        <w:t>亲脂性</w:t>
      </w:r>
      <w:r>
        <w:rPr>
          <w:vertAlign w:val="superscript"/>
        </w:rPr>
        <w:t>[26]</w:t>
      </w:r>
      <w:r>
        <w:t>，导致</w:t>
      </w:r>
      <w:r>
        <w:t>Al</w:t>
      </w:r>
      <w:r>
        <w:rPr>
          <w:vertAlign w:val="superscript"/>
        </w:rPr>
        <w:t>3+</w:t>
      </w:r>
      <w:r>
        <w:t>的吸收率</w:t>
      </w:r>
      <w:r>
        <w:rPr>
          <w:rFonts w:hint="eastAsia"/>
        </w:rPr>
        <w:t>较其他</w:t>
      </w:r>
      <w:r>
        <w:t>形式的铝盐更高，</w:t>
      </w:r>
      <w:r>
        <w:rPr>
          <w:rFonts w:hint="eastAsia"/>
        </w:rPr>
        <w:t>潜在毒性更大</w:t>
      </w:r>
      <w:r>
        <w:t>。虽然</w:t>
      </w:r>
      <w:r>
        <w:t>Al</w:t>
      </w:r>
      <w:r>
        <w:t>神经毒性的机制尚不</w:t>
      </w:r>
      <w:r>
        <w:rPr>
          <w:rFonts w:hint="eastAsia"/>
        </w:rPr>
        <w:t>完全</w:t>
      </w:r>
      <w:r>
        <w:t>清楚，但</w:t>
      </w:r>
      <w:r>
        <w:rPr>
          <w:rFonts w:hint="eastAsia"/>
        </w:rPr>
        <w:t>目前比较公认的机制有</w:t>
      </w:r>
      <w:r>
        <w:t>氧化应激</w:t>
      </w:r>
      <w:r>
        <w:rPr>
          <w:rFonts w:hint="eastAsia"/>
        </w:rPr>
        <w:t>、细胞</w:t>
      </w:r>
      <w:r>
        <w:t>凋亡</w:t>
      </w:r>
      <w:r>
        <w:rPr>
          <w:rFonts w:hint="eastAsia"/>
        </w:rPr>
        <w:t>、</w:t>
      </w:r>
      <w:r>
        <w:t>淀粉样</w:t>
      </w:r>
      <w:r>
        <w:t>β</w:t>
      </w:r>
      <w:r>
        <w:t>蛋白</w:t>
      </w:r>
      <w:r>
        <w:rPr>
          <w:rFonts w:hint="eastAsia"/>
        </w:rPr>
        <w:t>聚集</w:t>
      </w:r>
      <w:r>
        <w:t>和炎症</w:t>
      </w:r>
      <w:r>
        <w:rPr>
          <w:vertAlign w:val="superscript"/>
        </w:rPr>
        <w:t>[27-30]</w:t>
      </w:r>
      <w:r>
        <w:t>。</w:t>
      </w:r>
      <w:r>
        <w:rPr>
          <w:rFonts w:hint="eastAsia"/>
        </w:rPr>
        <w:t>其中，氧化</w:t>
      </w:r>
      <w:r>
        <w:t>应激</w:t>
      </w:r>
      <w:r>
        <w:rPr>
          <w:rFonts w:hint="eastAsia"/>
        </w:rPr>
        <w:t>被认为是铝神经毒性的病理基础</w:t>
      </w:r>
      <w:r>
        <w:rPr>
          <w:vertAlign w:val="superscript"/>
        </w:rPr>
        <w:t>[31-33]</w:t>
      </w:r>
      <w:r>
        <w:rPr>
          <w:rFonts w:hint="eastAsia"/>
        </w:rPr>
        <w:t>。因此，</w:t>
      </w:r>
      <w:r>
        <w:t>治疗氧化应激可能有效缓解</w:t>
      </w:r>
      <w:r>
        <w:t>Al</w:t>
      </w:r>
      <w:r>
        <w:t>神经毒性。</w:t>
      </w:r>
    </w:p>
    <w:p w14:paraId="5412BB5E" w14:textId="77777777" w:rsidR="00CB5FBB" w:rsidRDefault="00000000">
      <w:pPr>
        <w:ind w:firstLine="420"/>
      </w:pPr>
      <w:r>
        <w:rPr>
          <w:rFonts w:hint="eastAsia"/>
        </w:rPr>
        <w:t>随着铝神经毒性研究的深入及其与神经退行性疾病关系的阐明，推动了铝神经毒性防治药物的研究。目前缓解铝神经毒性作用的药物可大致分为金属螯合剂、植物源类生物制品、动物源类生物制剂以及一些抗氧</w:t>
      </w:r>
      <w:proofErr w:type="gramStart"/>
      <w:r>
        <w:rPr>
          <w:rFonts w:hint="eastAsia"/>
        </w:rPr>
        <w:t>化药物</w:t>
      </w:r>
      <w:proofErr w:type="gramEnd"/>
      <w:r>
        <w:rPr>
          <w:rFonts w:hint="eastAsia"/>
        </w:rPr>
        <w:t>或微量元素等五大类，但由于副作用、耐药性等原因尚未应用于临床治疗</w:t>
      </w:r>
      <w:r>
        <w:rPr>
          <w:vertAlign w:val="superscript"/>
        </w:rPr>
        <w:t>[34-36]</w:t>
      </w:r>
      <w:r>
        <w:rPr>
          <w:rFonts w:hint="eastAsia"/>
        </w:rPr>
        <w:t>。本课题组前期</w:t>
      </w:r>
      <w:r>
        <w:t>研究</w:t>
      </w:r>
      <w:proofErr w:type="gramStart"/>
      <w:r>
        <w:t>发现贯叶</w:t>
      </w:r>
      <w:r>
        <w:rPr>
          <w:rFonts w:hint="eastAsia"/>
        </w:rPr>
        <w:t>连翘</w:t>
      </w:r>
      <w:proofErr w:type="gramEnd"/>
      <w:r>
        <w:t>提取物（</w:t>
      </w:r>
      <w:r>
        <w:t>HPE</w:t>
      </w:r>
      <w:r>
        <w:t>）可以通过抗氧化</w:t>
      </w:r>
      <w:r>
        <w:rPr>
          <w:rFonts w:hint="eastAsia"/>
        </w:rPr>
        <w:t>、</w:t>
      </w:r>
      <w:r>
        <w:t>抗炎</w:t>
      </w:r>
      <w:r>
        <w:rPr>
          <w:rFonts w:hint="eastAsia"/>
        </w:rPr>
        <w:t>性反应</w:t>
      </w:r>
      <w:r>
        <w:t>和</w:t>
      </w:r>
      <w:r>
        <w:rPr>
          <w:rFonts w:hint="eastAsia"/>
        </w:rPr>
        <w:t>调节</w:t>
      </w:r>
      <w:r>
        <w:rPr>
          <w:rFonts w:hint="eastAsia"/>
        </w:rPr>
        <w:t>A</w:t>
      </w:r>
      <w:r>
        <w:t>β</w:t>
      </w:r>
      <w:r>
        <w:rPr>
          <w:rFonts w:hint="eastAsia"/>
        </w:rPr>
        <w:t>生成等药理特性</w:t>
      </w:r>
      <w:r>
        <w:t>有效缓解氯化铝诱导的</w:t>
      </w:r>
      <w:r>
        <w:rPr>
          <w:rFonts w:hint="eastAsia"/>
        </w:rPr>
        <w:t>大鼠脑区的</w:t>
      </w:r>
      <w:r>
        <w:t>阿尔茨海默病样病理变化</w:t>
      </w:r>
      <w:r>
        <w:rPr>
          <w:vertAlign w:val="superscript"/>
        </w:rPr>
        <w:t>[3]</w:t>
      </w:r>
      <w:r>
        <w:t>。</w:t>
      </w:r>
      <w:proofErr w:type="gramStart"/>
      <w:r>
        <w:rPr>
          <w:rFonts w:hint="eastAsia"/>
        </w:rPr>
        <w:t>贯叶金</w:t>
      </w:r>
      <w:proofErr w:type="gramEnd"/>
      <w:r>
        <w:rPr>
          <w:rFonts w:hint="eastAsia"/>
        </w:rPr>
        <w:t>丝桃素（</w:t>
      </w:r>
      <w:r>
        <w:rPr>
          <w:rFonts w:hint="eastAsia"/>
        </w:rPr>
        <w:t>h</w:t>
      </w:r>
      <w:r>
        <w:t>yperforin</w:t>
      </w:r>
      <w:r>
        <w:rPr>
          <w:rFonts w:hint="eastAsia"/>
        </w:rPr>
        <w:t>，</w:t>
      </w:r>
      <w:r>
        <w:t>HF</w:t>
      </w:r>
      <w:r>
        <w:rPr>
          <w:rFonts w:hint="eastAsia"/>
        </w:rPr>
        <w:t>）</w:t>
      </w:r>
      <w:r>
        <w:t>是</w:t>
      </w:r>
      <w:r>
        <w:t>HPE</w:t>
      </w:r>
      <w:r>
        <w:t>的主要活性成分</w:t>
      </w:r>
      <w:r>
        <w:rPr>
          <w:rFonts w:hint="eastAsia"/>
        </w:rPr>
        <w:t>，具有抗氧化、抗抑郁，促进学习记忆等药理作用</w:t>
      </w:r>
      <w:r>
        <w:rPr>
          <w:vertAlign w:val="superscript"/>
        </w:rPr>
        <w:t>[37]</w:t>
      </w:r>
      <w:r>
        <w:t>。</w:t>
      </w:r>
      <w:r>
        <w:rPr>
          <w:rFonts w:hint="eastAsia"/>
        </w:rPr>
        <w:t>我们</w:t>
      </w:r>
      <w:r>
        <w:rPr>
          <w:rFonts w:hint="eastAsia"/>
          <w:bCs/>
        </w:rPr>
        <w:t>前期实验扫描电镜观察发现，</w:t>
      </w:r>
      <w:r>
        <w:rPr>
          <w:rFonts w:hint="eastAsia"/>
          <w:bCs/>
        </w:rPr>
        <w:t>HF</w:t>
      </w:r>
      <w:r>
        <w:rPr>
          <w:rFonts w:hint="eastAsia"/>
          <w:bCs/>
        </w:rPr>
        <w:t>可显著减少</w:t>
      </w:r>
      <w:r>
        <w:rPr>
          <w:rFonts w:hint="eastAsia"/>
          <w:bCs/>
        </w:rPr>
        <w:t>Al</w:t>
      </w:r>
      <w:r>
        <w:rPr>
          <w:rFonts w:hint="eastAsia"/>
          <w:bCs/>
        </w:rPr>
        <w:t>暴露</w:t>
      </w:r>
      <w:r>
        <w:rPr>
          <w:rFonts w:hint="eastAsia"/>
          <w:bCs/>
        </w:rPr>
        <w:t>PC12</w:t>
      </w:r>
      <w:r>
        <w:rPr>
          <w:rFonts w:hint="eastAsia"/>
          <w:bCs/>
        </w:rPr>
        <w:t>细胞表面凋亡小体的形成和细胞膜完整度下降，故</w:t>
      </w:r>
      <w:r>
        <w:rPr>
          <w:bCs/>
        </w:rPr>
        <w:t>提出</w:t>
      </w:r>
      <w:r>
        <w:rPr>
          <w:bCs/>
        </w:rPr>
        <w:t>HF</w:t>
      </w:r>
      <w:r>
        <w:rPr>
          <w:rFonts w:hint="eastAsia"/>
          <w:bCs/>
        </w:rPr>
        <w:t>通过</w:t>
      </w:r>
      <w:r>
        <w:rPr>
          <w:bCs/>
        </w:rPr>
        <w:t>抑制</w:t>
      </w:r>
      <w:r>
        <w:rPr>
          <w:rFonts w:hint="eastAsia"/>
          <w:bCs/>
        </w:rPr>
        <w:t>氧化应激和神经细胞凋亡来缓解</w:t>
      </w:r>
      <w:r>
        <w:rPr>
          <w:bCs/>
        </w:rPr>
        <w:t>铝神经毒性的假说</w:t>
      </w:r>
      <w:r>
        <w:rPr>
          <w:rFonts w:hint="eastAsia"/>
        </w:rPr>
        <w:t>。然而，</w:t>
      </w:r>
      <w:r>
        <w:rPr>
          <w:rFonts w:hint="eastAsia"/>
        </w:rPr>
        <w:t>HF</w:t>
      </w:r>
      <w:r>
        <w:rPr>
          <w:rFonts w:hint="eastAsia"/>
        </w:rPr>
        <w:t>是否能通过其抗氧化性缓解铝神经毒性目前尚无报道。因此本试验旨在探明</w:t>
      </w:r>
      <w:r>
        <w:rPr>
          <w:rFonts w:hint="eastAsia"/>
        </w:rPr>
        <w:t>HF</w:t>
      </w:r>
      <w:r>
        <w:rPr>
          <w:rFonts w:hint="eastAsia"/>
        </w:rPr>
        <w:t>对铝诱导的</w:t>
      </w:r>
      <w:r>
        <w:rPr>
          <w:rFonts w:hint="eastAsia"/>
        </w:rPr>
        <w:t>PC12</w:t>
      </w:r>
      <w:r>
        <w:rPr>
          <w:rFonts w:hint="eastAsia"/>
        </w:rPr>
        <w:t>氧化损伤和凋亡的保护作用及机制，为铝神经毒危害的解除提供理论基础和试验依据。</w:t>
      </w:r>
    </w:p>
    <w:p w14:paraId="6DAAEB59" w14:textId="77777777" w:rsidR="00CB5FBB" w:rsidRDefault="00000000">
      <w:pPr>
        <w:pStyle w:val="aff0"/>
      </w:pPr>
      <w:bookmarkStart w:id="4" w:name="_Toc232419402"/>
      <w:r>
        <w:lastRenderedPageBreak/>
        <w:t xml:space="preserve">1.1 </w:t>
      </w:r>
      <w:r>
        <w:t>铝的神经毒性作用</w:t>
      </w:r>
      <w:bookmarkEnd w:id="4"/>
    </w:p>
    <w:p w14:paraId="5113AC3E" w14:textId="77777777" w:rsidR="00CB5FBB" w:rsidRDefault="00000000">
      <w:pPr>
        <w:ind w:firstLine="420"/>
      </w:pPr>
      <w:r>
        <w:t>铝是一种蓄积性神经毒物，与阿尔茨海默氏病、肌萎缩侧索硬化症、透析性脑病和</w:t>
      </w:r>
      <w:proofErr w:type="gramStart"/>
      <w:r>
        <w:t>帕金</w:t>
      </w:r>
      <w:proofErr w:type="gramEnd"/>
      <w:r>
        <w:t>森综合症等神经退行性疾病的发病相关，是神经退行性疾病的病因或加重因素之一</w:t>
      </w:r>
      <w:r>
        <w:rPr>
          <w:vertAlign w:val="superscript"/>
        </w:rPr>
        <w:t>[38]</w:t>
      </w:r>
      <w:r>
        <w:t>。</w:t>
      </w:r>
      <w:r>
        <w:t>1886</w:t>
      </w:r>
      <w:r>
        <w:t>年，</w:t>
      </w:r>
      <w:r>
        <w:t>Siem</w:t>
      </w:r>
      <w:r>
        <w:t>首次报道了</w:t>
      </w:r>
      <w:proofErr w:type="gramStart"/>
      <w:r>
        <w:t>铝具有</w:t>
      </w:r>
      <w:proofErr w:type="gramEnd"/>
      <w:r>
        <w:t>神经毒性并可导致学习记忆功能障碍</w:t>
      </w:r>
      <w:r>
        <w:rPr>
          <w:vertAlign w:val="superscript"/>
        </w:rPr>
        <w:t>[39]</w:t>
      </w:r>
      <w:r>
        <w:t>。</w:t>
      </w:r>
      <w:r>
        <w:t>1976</w:t>
      </w:r>
      <w:r>
        <w:t>年，</w:t>
      </w:r>
      <w:r>
        <w:t>Jack</w:t>
      </w:r>
      <w:r>
        <w:t>等报道，透析性脑病患者的神经功能障碍与透析液中</w:t>
      </w:r>
      <w:r>
        <w:t>Al</w:t>
      </w:r>
      <w:r>
        <w:t>浓度过高以及使用含</w:t>
      </w:r>
      <w:r>
        <w:t>Al</w:t>
      </w:r>
      <w:r>
        <w:t>的磷酸盐结合凝胶有关</w:t>
      </w:r>
      <w:r>
        <w:rPr>
          <w:vertAlign w:val="superscript"/>
        </w:rPr>
        <w:t>[40]</w:t>
      </w:r>
      <w:r>
        <w:t>。</w:t>
      </w:r>
      <w:r>
        <w:t>1994</w:t>
      </w:r>
      <w:r>
        <w:t>年，</w:t>
      </w:r>
      <w:r>
        <w:t>Sjogren</w:t>
      </w:r>
      <w:r>
        <w:t>等对接触铝和锰的焊工问卷调查表明，铝和镁暴露可能导致运动功能、学习及记忆能力下降</w:t>
      </w:r>
      <w:r>
        <w:rPr>
          <w:vertAlign w:val="superscript"/>
        </w:rPr>
        <w:t>[41]</w:t>
      </w:r>
      <w:r>
        <w:t>。</w:t>
      </w:r>
      <w:r>
        <w:t>2001</w:t>
      </w:r>
      <w:r>
        <w:t>年，杨红光等调查研究发现，铝熔铸工人注意力、手的运动协调能力、感知记忆力均下降，最慢反应时间、数字译码和视觉保留时间延长</w:t>
      </w:r>
      <w:r>
        <w:rPr>
          <w:vertAlign w:val="superscript"/>
        </w:rPr>
        <w:t>[42]</w:t>
      </w:r>
      <w:r>
        <w:t>。</w:t>
      </w:r>
      <w:r>
        <w:t>Neri</w:t>
      </w:r>
      <w:r>
        <w:t>等人研究指出</w:t>
      </w:r>
      <w:r>
        <w:rPr>
          <w:rFonts w:hint="eastAsia"/>
        </w:rPr>
        <w:t>，</w:t>
      </w:r>
      <w:proofErr w:type="gramStart"/>
      <w:r>
        <w:t>受铝污染</w:t>
      </w:r>
      <w:proofErr w:type="gramEnd"/>
      <w:r>
        <w:t>的饮用水是导致人罹患</w:t>
      </w:r>
      <w:r>
        <w:t>AD</w:t>
      </w:r>
      <w:r>
        <w:t>的主要危险因素之一</w:t>
      </w:r>
      <w:r>
        <w:rPr>
          <w:vertAlign w:val="superscript"/>
        </w:rPr>
        <w:t>[43-45]</w:t>
      </w:r>
      <w:r>
        <w:t>。</w:t>
      </w:r>
      <w:r>
        <w:t>Buchta</w:t>
      </w:r>
      <w:r>
        <w:t>等人报道，长期职业接触含</w:t>
      </w:r>
      <w:r>
        <w:t>Al</w:t>
      </w:r>
      <w:r>
        <w:t>焊接烟雾的神经毒性，以延迟暴露工作人员的总体反应时间</w:t>
      </w:r>
      <w:r>
        <w:rPr>
          <w:vertAlign w:val="superscript"/>
        </w:rPr>
        <w:t>[46]</w:t>
      </w:r>
      <w:r>
        <w:t>。</w:t>
      </w:r>
      <w:r>
        <w:rPr>
          <w:rFonts w:hint="eastAsia"/>
        </w:rPr>
        <w:t>以上流行病学调查均表明铝暴露可引起学习记忆功能损害。同时，流行病学研究表明铝也是一些神经退行性疾病的诱发或加重因素之一。</w:t>
      </w:r>
      <w:r>
        <w:t>1992</w:t>
      </w:r>
      <w:r>
        <w:rPr>
          <w:rFonts w:hint="eastAsia"/>
        </w:rPr>
        <w:t>年，</w:t>
      </w:r>
      <w:r>
        <w:t>Yasui M</w:t>
      </w:r>
      <w:r>
        <w:rPr>
          <w:rFonts w:hint="eastAsia"/>
        </w:rPr>
        <w:t>等通过比较</w:t>
      </w:r>
      <w:r>
        <w:t>26</w:t>
      </w:r>
      <w:r>
        <w:rPr>
          <w:rFonts w:hint="eastAsia"/>
        </w:rPr>
        <w:t>个地区帕金森病患者脑中铝浓度发现，在黑质、尾状核、苍白球中铝浓度显著高于对照人群，在脑灰质和基底核中铝浓度极显著高于对照人群</w:t>
      </w:r>
      <w:r>
        <w:rPr>
          <w:vertAlign w:val="superscript"/>
        </w:rPr>
        <w:t>[47]</w:t>
      </w:r>
      <w:r>
        <w:rPr>
          <w:rFonts w:hint="eastAsia"/>
        </w:rPr>
        <w:t>；</w:t>
      </w:r>
      <w:r>
        <w:t>2002</w:t>
      </w:r>
      <w:r>
        <w:rPr>
          <w:rFonts w:hint="eastAsia"/>
        </w:rPr>
        <w:t>年，</w:t>
      </w:r>
      <w:proofErr w:type="spellStart"/>
      <w:r>
        <w:t>Shirabe</w:t>
      </w:r>
      <w:proofErr w:type="spellEnd"/>
      <w:r>
        <w:t>等人</w:t>
      </w:r>
      <w:r>
        <w:rPr>
          <w:rFonts w:hint="eastAsia"/>
        </w:rPr>
        <w:t>研究发现</w:t>
      </w:r>
      <w:r>
        <w:t>慢性肾功能衰竭的</w:t>
      </w:r>
      <w:r>
        <w:rPr>
          <w:rFonts w:hint="eastAsia"/>
        </w:rPr>
        <w:t>Al</w:t>
      </w:r>
      <w:r>
        <w:t>脑病</w:t>
      </w:r>
      <w:r>
        <w:rPr>
          <w:rFonts w:hint="eastAsia"/>
        </w:rPr>
        <w:t>患者的</w:t>
      </w:r>
      <w:r>
        <w:t>大脑表现出神经细胞萎缩和基质海绵状血管病轻度丧失，</w:t>
      </w:r>
      <w:r>
        <w:rPr>
          <w:rFonts w:hint="eastAsia"/>
        </w:rPr>
        <w:t>星形胶质细胞和小胶质细胞在大脑皮层、基底神经节和丘脑中的增殖</w:t>
      </w:r>
      <w:r>
        <w:rPr>
          <w:vertAlign w:val="superscript"/>
        </w:rPr>
        <w:t>[48]</w:t>
      </w:r>
      <w:r>
        <w:rPr>
          <w:rFonts w:hint="eastAsia"/>
        </w:rPr>
        <w:t>。</w:t>
      </w:r>
      <w:r>
        <w:t>2006</w:t>
      </w:r>
      <w:r>
        <w:rPr>
          <w:rFonts w:hint="eastAsia"/>
        </w:rPr>
        <w:t>年，</w:t>
      </w:r>
      <w:r>
        <w:t>Walton</w:t>
      </w:r>
      <w:r>
        <w:rPr>
          <w:rFonts w:hint="eastAsia"/>
        </w:rPr>
        <w:t>等调查发现阿尔茨海默综合症患者脑组织中有高浓度的铝蓄积，提示阿尔茨海默综合症的发病与铝暴露有关</w:t>
      </w:r>
      <w:r>
        <w:rPr>
          <w:vertAlign w:val="superscript"/>
        </w:rPr>
        <w:t>[49]</w:t>
      </w:r>
      <w:r>
        <w:rPr>
          <w:rFonts w:hint="eastAsia"/>
        </w:rPr>
        <w:t>。</w:t>
      </w:r>
      <w:r>
        <w:rPr>
          <w:rFonts w:hint="eastAsia"/>
        </w:rPr>
        <w:t>2</w:t>
      </w:r>
      <w:r>
        <w:t>012</w:t>
      </w:r>
      <w:r>
        <w:rPr>
          <w:rFonts w:hint="eastAsia"/>
        </w:rPr>
        <w:t>年，</w:t>
      </w:r>
      <w:r>
        <w:t>Ramirez-Altamirano</w:t>
      </w:r>
      <w:r>
        <w:rPr>
          <w:rFonts w:hint="eastAsia"/>
        </w:rPr>
        <w:t>等人研究发现具有神经管缺陷症状的新生儿头发中</w:t>
      </w:r>
      <w:r>
        <w:t>Al</w:t>
      </w:r>
      <w:r>
        <w:rPr>
          <w:rFonts w:hint="eastAsia"/>
        </w:rPr>
        <w:t>浓度</w:t>
      </w:r>
      <w:r>
        <w:t>显着</w:t>
      </w:r>
      <w:r>
        <w:rPr>
          <w:rFonts w:hint="eastAsia"/>
        </w:rPr>
        <w:t>升高</w:t>
      </w:r>
      <w:r>
        <w:t>，表明</w:t>
      </w:r>
      <w:proofErr w:type="gramStart"/>
      <w:r>
        <w:rPr>
          <w:rFonts w:hint="eastAsia"/>
        </w:rPr>
        <w:t>铝</w:t>
      </w:r>
      <w:r>
        <w:t>可能</w:t>
      </w:r>
      <w:proofErr w:type="gramEnd"/>
      <w:r>
        <w:rPr>
          <w:rFonts w:hint="eastAsia"/>
        </w:rPr>
        <w:t>是导致</w:t>
      </w:r>
      <w:r>
        <w:t>神经管缺陷的发展因素</w:t>
      </w:r>
      <w:r>
        <w:rPr>
          <w:vertAlign w:val="superscript"/>
        </w:rPr>
        <w:t>[50]</w:t>
      </w:r>
      <w:r>
        <w:rPr>
          <w:rFonts w:hint="eastAsia"/>
        </w:rPr>
        <w:t>。鉴于铝神经毒性严重影响人类的生活质量，并造成家庭和社会的经济负担，因此在过去的几十年中研究人员对铝毒性损伤机制进行了大量的实验室研究，并取得了巨大的进展，但由于中枢神经系统的复杂性，其确切机制尚不清楚。目前研究表明，氧化应激、细胞凋亡是公认的</w:t>
      </w:r>
      <w:proofErr w:type="gramStart"/>
      <w:r>
        <w:rPr>
          <w:rFonts w:hint="eastAsia"/>
        </w:rPr>
        <w:t>铝造成</w:t>
      </w:r>
      <w:proofErr w:type="gramEnd"/>
      <w:r>
        <w:rPr>
          <w:rFonts w:hint="eastAsia"/>
        </w:rPr>
        <w:t>中枢神经系统损伤和功能障碍主要病理特征和重要机制</w:t>
      </w:r>
      <w:r>
        <w:rPr>
          <w:vertAlign w:val="superscript"/>
        </w:rPr>
        <w:t>[51]</w:t>
      </w:r>
      <w:r>
        <w:rPr>
          <w:rFonts w:hint="eastAsia"/>
        </w:rPr>
        <w:t>。</w:t>
      </w:r>
    </w:p>
    <w:p w14:paraId="7AC3AA8D" w14:textId="77777777" w:rsidR="00CB5FBB" w:rsidRDefault="00000000">
      <w:pPr>
        <w:pStyle w:val="aff0"/>
      </w:pPr>
      <w:bookmarkStart w:id="5" w:name="_Toc232419403"/>
      <w:r>
        <w:t xml:space="preserve">1.2 </w:t>
      </w:r>
      <w:r>
        <w:t>铝</w:t>
      </w:r>
      <w:r>
        <w:rPr>
          <w:rFonts w:hint="eastAsia"/>
        </w:rPr>
        <w:t>与氧化损伤</w:t>
      </w:r>
      <w:bookmarkEnd w:id="5"/>
    </w:p>
    <w:p w14:paraId="3F72CFDE" w14:textId="77777777" w:rsidR="00CB5FBB" w:rsidRDefault="00000000">
      <w:pPr>
        <w:ind w:firstLine="420"/>
      </w:pPr>
      <w:r>
        <w:rPr>
          <w:rFonts w:hint="eastAsia"/>
        </w:rPr>
        <w:t>氧化损伤是指机体在遭受有害刺激（包括金属盐</w:t>
      </w:r>
      <w:r>
        <w:rPr>
          <w:vertAlign w:val="superscript"/>
        </w:rPr>
        <w:t>[52]</w:t>
      </w:r>
      <w:r>
        <w:rPr>
          <w:rFonts w:hint="eastAsia"/>
        </w:rPr>
        <w:t>、烟草</w:t>
      </w:r>
      <w:r>
        <w:rPr>
          <w:vertAlign w:val="superscript"/>
        </w:rPr>
        <w:t>[53]</w:t>
      </w:r>
      <w:r>
        <w:rPr>
          <w:rFonts w:hint="eastAsia"/>
        </w:rPr>
        <w:t>、污染物</w:t>
      </w:r>
      <w:r>
        <w:rPr>
          <w:vertAlign w:val="superscript"/>
        </w:rPr>
        <w:t>[54]</w:t>
      </w:r>
      <w:r>
        <w:rPr>
          <w:rFonts w:hint="eastAsia"/>
        </w:rPr>
        <w:t>、紫外线和电离辐射等）时，机体氧化与抗氧化系统失衡，体内高活性分子如活性氧自由基（</w:t>
      </w:r>
      <w:r>
        <w:t>ROS</w:t>
      </w:r>
      <w:r>
        <w:rPr>
          <w:rFonts w:hint="eastAsia"/>
        </w:rPr>
        <w:t>）产生过多或清除过少，使蛋白质、核酸和脂质结构和功能发生改变从而导致组织损伤</w:t>
      </w:r>
      <w:r>
        <w:rPr>
          <w:vertAlign w:val="superscript"/>
        </w:rPr>
        <w:t>[55]</w:t>
      </w:r>
      <w:r>
        <w:rPr>
          <w:rFonts w:hint="eastAsia"/>
        </w:rPr>
        <w:t>。</w:t>
      </w:r>
    </w:p>
    <w:p w14:paraId="329D602D" w14:textId="77777777" w:rsidR="00CB5FBB" w:rsidRDefault="00000000">
      <w:pPr>
        <w:ind w:firstLine="420"/>
      </w:pPr>
      <w:r>
        <w:t>ROS</w:t>
      </w:r>
      <w:r>
        <w:rPr>
          <w:rFonts w:hint="eastAsia"/>
        </w:rPr>
        <w:t>是机体正常氧化代谢的一种副产物，包括氧自由基和能转化为自由基的物质，</w:t>
      </w:r>
      <w:r>
        <w:rPr>
          <w:rFonts w:hint="eastAsia"/>
        </w:rPr>
        <w:t>ROS</w:t>
      </w:r>
      <w:r>
        <w:rPr>
          <w:rFonts w:hint="eastAsia"/>
        </w:rPr>
        <w:t>具有重要的生理作用，少量的</w:t>
      </w:r>
      <w:r>
        <w:rPr>
          <w:rFonts w:hint="eastAsia"/>
        </w:rPr>
        <w:t>ROS</w:t>
      </w:r>
      <w:r>
        <w:rPr>
          <w:rFonts w:hint="eastAsia"/>
        </w:rPr>
        <w:t>可以清除机体有害微生物、调节机体免疫力及调控细胞信号通路控制的细胞生存、迁移和增殖</w:t>
      </w:r>
      <w:r>
        <w:rPr>
          <w:vertAlign w:val="superscript"/>
        </w:rPr>
        <w:t>[56]</w:t>
      </w:r>
      <w:r>
        <w:rPr>
          <w:rFonts w:hint="eastAsia"/>
        </w:rPr>
        <w:t>。生理状态下，由于机体自身抗氧化系统的存在，</w:t>
      </w:r>
      <w:r>
        <w:t>ROS</w:t>
      </w:r>
      <w:r>
        <w:rPr>
          <w:rFonts w:hint="eastAsia"/>
        </w:rPr>
        <w:t>的产生和清除处于动态平衡，代谢产生的</w:t>
      </w:r>
      <w:r>
        <w:t>ROS</w:t>
      </w:r>
      <w:r>
        <w:rPr>
          <w:rFonts w:hint="eastAsia"/>
        </w:rPr>
        <w:t>不会对机体造成损伤。机体内的</w:t>
      </w:r>
      <w:r>
        <w:t>ROS</w:t>
      </w:r>
      <w:r>
        <w:rPr>
          <w:rFonts w:hint="eastAsia"/>
        </w:rPr>
        <w:t>按照来源不同可分为外源性和内源性，其中内源性</w:t>
      </w:r>
      <w:r>
        <w:t>ROS</w:t>
      </w:r>
      <w:r>
        <w:rPr>
          <w:rFonts w:hint="eastAsia"/>
        </w:rPr>
        <w:t>是机体内</w:t>
      </w:r>
      <w:r>
        <w:t>ROS</w:t>
      </w:r>
      <w:r>
        <w:rPr>
          <w:rFonts w:hint="eastAsia"/>
        </w:rPr>
        <w:t>的主要来源</w:t>
      </w:r>
      <w:r>
        <w:rPr>
          <w:vertAlign w:val="superscript"/>
        </w:rPr>
        <w:t>[57]</w:t>
      </w:r>
      <w:r>
        <w:rPr>
          <w:rFonts w:hint="eastAsia"/>
        </w:rPr>
        <w:t>。内源性的</w:t>
      </w:r>
      <w:r>
        <w:t>ROS</w:t>
      </w:r>
      <w:r>
        <w:rPr>
          <w:rFonts w:hint="eastAsia"/>
        </w:rPr>
        <w:t>主要来自于线粒体的有氧呼吸和代谢过程，是呼吸链的副产物。正常状态下，真核</w:t>
      </w:r>
      <w:r>
        <w:rPr>
          <w:rFonts w:hint="eastAsia"/>
        </w:rPr>
        <w:lastRenderedPageBreak/>
        <w:t>细胞线粒体内，电子经酶复合物</w:t>
      </w:r>
      <w:r>
        <w:t>I-IV</w:t>
      </w:r>
      <w:r>
        <w:rPr>
          <w:rFonts w:hint="eastAsia"/>
        </w:rPr>
        <w:t>从还原性分子转移到氧（</w:t>
      </w:r>
      <w:r>
        <w:t>O</w:t>
      </w:r>
      <w:r>
        <w:rPr>
          <w:vertAlign w:val="subscript"/>
        </w:rPr>
        <w:t>2</w:t>
      </w:r>
      <w:r>
        <w:rPr>
          <w:rFonts w:hint="eastAsia"/>
        </w:rPr>
        <w:t>），其中复合物酶</w:t>
      </w:r>
      <w:r>
        <w:t>IV</w:t>
      </w:r>
      <w:r>
        <w:rPr>
          <w:rFonts w:hint="eastAsia"/>
        </w:rPr>
        <w:t>（细胞色素</w:t>
      </w:r>
      <w:r>
        <w:t>C</w:t>
      </w:r>
      <w:r>
        <w:rPr>
          <w:rFonts w:hint="eastAsia"/>
        </w:rPr>
        <w:t>氧化酶）位于电子传递链末端，确保</w:t>
      </w:r>
      <w:r>
        <w:t>O</w:t>
      </w:r>
      <w:r>
        <w:rPr>
          <w:vertAlign w:val="subscript"/>
        </w:rPr>
        <w:t>2</w:t>
      </w:r>
      <w:r>
        <w:rPr>
          <w:rFonts w:hint="eastAsia"/>
        </w:rPr>
        <w:t>接受四个电子还原为水</w:t>
      </w:r>
      <w:r>
        <w:rPr>
          <w:vertAlign w:val="superscript"/>
        </w:rPr>
        <w:t>[58]</w:t>
      </w:r>
      <w:r>
        <w:rPr>
          <w:rFonts w:hint="eastAsia"/>
        </w:rPr>
        <w:t>；另外，除了线粒体，内源性的</w:t>
      </w:r>
      <w:r>
        <w:rPr>
          <w:rFonts w:hint="eastAsia"/>
        </w:rPr>
        <w:t>ROS</w:t>
      </w:r>
      <w:r>
        <w:rPr>
          <w:rFonts w:hint="eastAsia"/>
        </w:rPr>
        <w:t>还可来源于细胞的其他组分，如细胞色素</w:t>
      </w:r>
      <w:r>
        <w:rPr>
          <w:rFonts w:hint="eastAsia"/>
        </w:rPr>
        <w:t>P450</w:t>
      </w:r>
      <w:r>
        <w:rPr>
          <w:rFonts w:hint="eastAsia"/>
        </w:rPr>
        <w:t>、巨噬细胞、中性粒细胞、</w:t>
      </w:r>
      <w:r>
        <w:rPr>
          <w:rFonts w:hint="eastAsia"/>
        </w:rPr>
        <w:t>NADPH</w:t>
      </w:r>
      <w:r>
        <w:rPr>
          <w:rFonts w:hint="eastAsia"/>
        </w:rPr>
        <w:t>氧化酶、过氧化物酶体、微粒体等</w:t>
      </w:r>
      <w:r>
        <w:rPr>
          <w:vertAlign w:val="superscript"/>
        </w:rPr>
        <w:t>[59]</w:t>
      </w:r>
      <w:r>
        <w:rPr>
          <w:rFonts w:hint="eastAsia"/>
        </w:rPr>
        <w:t>。生理状态下，由于机体自身机体存在的两类抗氧化系统，一类是酶抗氧化系统，包括超氧化物歧化酶（</w:t>
      </w:r>
      <w:r>
        <w:t>SOD</w:t>
      </w:r>
      <w:r>
        <w:rPr>
          <w:rFonts w:hint="eastAsia"/>
        </w:rPr>
        <w:t>）、谷胱甘肽过氧化物酶（</w:t>
      </w:r>
      <w:r>
        <w:t>GSH-</w:t>
      </w:r>
      <w:proofErr w:type="spellStart"/>
      <w:r>
        <w:t>Px</w:t>
      </w:r>
      <w:proofErr w:type="spellEnd"/>
      <w:r>
        <w:rPr>
          <w:rFonts w:hint="eastAsia"/>
        </w:rPr>
        <w:t>）和过氧化氢酶（</w:t>
      </w:r>
      <w:r>
        <w:t>CAT</w:t>
      </w:r>
      <w:r>
        <w:rPr>
          <w:rFonts w:hint="eastAsia"/>
        </w:rPr>
        <w:t>）等；另一类是非酶抗氧化系统，包括谷胱甘肽（</w:t>
      </w:r>
      <w:r>
        <w:t>GSH</w:t>
      </w:r>
      <w:r>
        <w:rPr>
          <w:rFonts w:hint="eastAsia"/>
        </w:rPr>
        <w:t>）、维生素</w:t>
      </w:r>
      <w:r>
        <w:rPr>
          <w:rFonts w:hint="eastAsia"/>
        </w:rPr>
        <w:t>C</w:t>
      </w:r>
      <w:r>
        <w:rPr>
          <w:rFonts w:hint="eastAsia"/>
        </w:rPr>
        <w:t>和类胡萝卜素等，代谢产生的</w:t>
      </w:r>
      <w:r>
        <w:t>ROS</w:t>
      </w:r>
      <w:r>
        <w:rPr>
          <w:rFonts w:hint="eastAsia"/>
        </w:rPr>
        <w:t>不会对机体造成损伤，且具有重要的生理作用；在应激状态、外源性刺激物或病理条件下，</w:t>
      </w:r>
      <w:r>
        <w:t>ROS</w:t>
      </w:r>
      <w:r>
        <w:rPr>
          <w:rFonts w:hint="eastAsia"/>
        </w:rPr>
        <w:t>生成增加或（和）抗氧化酶活性降低，使组织中</w:t>
      </w:r>
      <w:r>
        <w:t>ROS</w:t>
      </w:r>
      <w:r>
        <w:rPr>
          <w:rFonts w:hint="eastAsia"/>
        </w:rPr>
        <w:t>含量上导致蛋白质、核酸和脂质结构和功能发生改变，最终导致细胞功能障碍甚至凋亡。生物膜是细胞的重要组分，具有特殊的功能，可以参与物质运输、信息传递、能量转换、细胞识别。</w:t>
      </w:r>
      <w:r>
        <w:t>ROS</w:t>
      </w:r>
      <w:r>
        <w:rPr>
          <w:rFonts w:hint="eastAsia"/>
        </w:rPr>
        <w:t>对生物膜（质膜、线粒体膜、高尔基体膜和内质网膜等）的损伤主要涉及组成成分中的磷脂，磷脂含有大量的多不饱和脂肪酸，</w:t>
      </w:r>
      <w:r>
        <w:t>ROS</w:t>
      </w:r>
      <w:r>
        <w:rPr>
          <w:rFonts w:hint="eastAsia"/>
        </w:rPr>
        <w:t>对不饱和共价键具有一种特殊的亲和力，因此，在机体内，</w:t>
      </w:r>
      <w:r>
        <w:t>ROS</w:t>
      </w:r>
      <w:r>
        <w:rPr>
          <w:rFonts w:hint="eastAsia"/>
        </w:rPr>
        <w:t>最容易攻击生物膜磷脂中的不饱和脂肪酸，从而引起膜脂质过氧化反应</w:t>
      </w:r>
      <w:r>
        <w:rPr>
          <w:vertAlign w:val="superscript"/>
        </w:rPr>
        <w:t>[60]</w:t>
      </w:r>
      <w:r>
        <w:rPr>
          <w:rFonts w:hint="eastAsia"/>
        </w:rPr>
        <w:t>。脂质过氧化产物丙二醛（</w:t>
      </w:r>
      <w:r>
        <w:t>MDA</w:t>
      </w:r>
      <w:r>
        <w:rPr>
          <w:rFonts w:hint="eastAsia"/>
        </w:rPr>
        <w:t>）可进一步与蛋白质的</w:t>
      </w:r>
      <w:r>
        <w:t>-SH</w:t>
      </w:r>
      <w:r>
        <w:rPr>
          <w:rFonts w:hint="eastAsia"/>
        </w:rPr>
        <w:t>和</w:t>
      </w:r>
      <w:r>
        <w:t>-NH</w:t>
      </w:r>
      <w:proofErr w:type="gramStart"/>
      <w:r>
        <w:rPr>
          <w:rFonts w:hint="eastAsia"/>
        </w:rPr>
        <w:t>基发生</w:t>
      </w:r>
      <w:proofErr w:type="gramEnd"/>
      <w:r>
        <w:rPr>
          <w:rFonts w:hint="eastAsia"/>
        </w:rPr>
        <w:t>交联，从而必须依赖</w:t>
      </w:r>
      <w:r>
        <w:t>-SH</w:t>
      </w:r>
      <w:r>
        <w:rPr>
          <w:rFonts w:hint="eastAsia"/>
        </w:rPr>
        <w:t>和</w:t>
      </w:r>
      <w:r>
        <w:t>-NH</w:t>
      </w:r>
      <w:r>
        <w:rPr>
          <w:rFonts w:hint="eastAsia"/>
        </w:rPr>
        <w:t>基来维持活性的酶和受体抑制。因此，</w:t>
      </w:r>
      <w:r>
        <w:t>MDA</w:t>
      </w:r>
      <w:r>
        <w:rPr>
          <w:rFonts w:hint="eastAsia"/>
        </w:rPr>
        <w:t>的含量常作为评价脂质过氧化指标。</w:t>
      </w:r>
    </w:p>
    <w:p w14:paraId="506A9AF0" w14:textId="77777777" w:rsidR="00181423" w:rsidRDefault="00181423">
      <w:pPr>
        <w:ind w:firstLine="420"/>
      </w:pPr>
    </w:p>
    <w:p w14:paraId="772C411C" w14:textId="77777777" w:rsidR="00181423" w:rsidRDefault="00181423">
      <w:pPr>
        <w:ind w:firstLine="420"/>
        <w:rPr>
          <w:rFonts w:hint="eastAsia"/>
        </w:rPr>
      </w:pPr>
    </w:p>
    <w:p w14:paraId="1DE98CFB" w14:textId="240335A9" w:rsidR="00181423" w:rsidRDefault="00181423" w:rsidP="00181423">
      <w:pPr>
        <w:pStyle w:val="af6"/>
      </w:pPr>
      <w:r>
        <w:rPr>
          <w:rFonts w:hint="eastAsia"/>
        </w:rPr>
        <w:t xml:space="preserve">1 </w:t>
      </w:r>
      <w:r>
        <w:rPr>
          <w:rFonts w:hint="eastAsia"/>
        </w:rPr>
        <w:t>一</w:t>
      </w:r>
      <w:r w:rsidRPr="00181423">
        <w:rPr>
          <w:rFonts w:hint="eastAsia"/>
        </w:rPr>
        <w:t>级标题（模板样式）</w:t>
      </w:r>
    </w:p>
    <w:p w14:paraId="3B8916DB" w14:textId="77777777" w:rsidR="00181423" w:rsidRDefault="00181423" w:rsidP="00181423">
      <w:pPr>
        <w:ind w:firstLine="420"/>
      </w:pPr>
      <w:r>
        <w:rPr>
          <w:rFonts w:hint="eastAsia"/>
        </w:rPr>
        <w:t>正文</w:t>
      </w:r>
    </w:p>
    <w:p w14:paraId="5A7F60BC" w14:textId="17B3BE22" w:rsidR="00CB5FBB" w:rsidRDefault="00000000">
      <w:pPr>
        <w:pStyle w:val="aff0"/>
      </w:pPr>
      <w:bookmarkStart w:id="6" w:name="_Toc232419404"/>
      <w:r>
        <w:t xml:space="preserve">1.1 </w:t>
      </w:r>
      <w:r>
        <w:t>二级标题</w:t>
      </w:r>
      <w:bookmarkStart w:id="7" w:name="_Hlk226452197"/>
      <w:r>
        <w:rPr>
          <w:rFonts w:hint="eastAsia"/>
        </w:rPr>
        <w:t>（模板样式）</w:t>
      </w:r>
      <w:bookmarkEnd w:id="6"/>
      <w:bookmarkEnd w:id="7"/>
    </w:p>
    <w:p w14:paraId="63AEE396" w14:textId="77777777" w:rsidR="00CB5FBB" w:rsidRDefault="00000000">
      <w:pPr>
        <w:ind w:firstLine="420"/>
      </w:pPr>
      <w:r>
        <w:rPr>
          <w:rFonts w:hint="eastAsia"/>
        </w:rPr>
        <w:t>正文</w:t>
      </w:r>
    </w:p>
    <w:p w14:paraId="475DE2C9" w14:textId="77777777" w:rsidR="00CB5FBB" w:rsidRDefault="00000000">
      <w:pPr>
        <w:pStyle w:val="aff2"/>
      </w:pPr>
      <w:bookmarkStart w:id="8" w:name="_Toc232419405"/>
      <w:r>
        <w:t xml:space="preserve">1.1.1 </w:t>
      </w:r>
      <w:r>
        <w:t>三级标题</w:t>
      </w:r>
      <w:r>
        <w:rPr>
          <w:rFonts w:hint="eastAsia"/>
        </w:rPr>
        <w:t>（模板样式）</w:t>
      </w:r>
      <w:bookmarkEnd w:id="8"/>
    </w:p>
    <w:p w14:paraId="77D20512" w14:textId="77777777" w:rsidR="00CB5FBB" w:rsidRDefault="00000000">
      <w:pPr>
        <w:ind w:firstLine="420"/>
      </w:pPr>
      <w:r>
        <w:rPr>
          <w:rFonts w:hint="eastAsia"/>
        </w:rPr>
        <w:t>正文</w:t>
      </w:r>
    </w:p>
    <w:p w14:paraId="4F196B64" w14:textId="77777777" w:rsidR="00CB5FBB" w:rsidRDefault="00000000">
      <w:pPr>
        <w:pStyle w:val="aff4"/>
      </w:pPr>
      <w:r>
        <w:t xml:space="preserve">1.1.1.1 </w:t>
      </w:r>
      <w:r>
        <w:t>四级标题</w:t>
      </w:r>
      <w:r>
        <w:rPr>
          <w:rFonts w:hint="eastAsia"/>
        </w:rPr>
        <w:t>（模板样式）</w:t>
      </w:r>
    </w:p>
    <w:p w14:paraId="1D39ABE1" w14:textId="77777777" w:rsidR="00CB5FBB" w:rsidRDefault="00000000">
      <w:pPr>
        <w:ind w:firstLine="420"/>
      </w:pPr>
      <w:r>
        <w:rPr>
          <w:rFonts w:hint="eastAsia"/>
        </w:rPr>
        <w:t>正文</w:t>
      </w:r>
    </w:p>
    <w:p w14:paraId="48839454" w14:textId="77777777" w:rsidR="00CB5FBB" w:rsidRDefault="00CB5FBB">
      <w:pPr>
        <w:ind w:firstLine="420"/>
      </w:pPr>
    </w:p>
    <w:permEnd w:id="1001942918"/>
    <w:p w14:paraId="7ADE4031" w14:textId="77777777" w:rsidR="00CB5FBB" w:rsidRDefault="00CB5FBB">
      <w:pPr>
        <w:pStyle w:val="aff4"/>
        <w:sectPr w:rsidR="00CB5FBB">
          <w:pgSz w:w="11906" w:h="16838"/>
          <w:pgMar w:top="1440" w:right="1800" w:bottom="1440" w:left="1800" w:header="425" w:footer="992" w:gutter="0"/>
          <w:cols w:space="425"/>
          <w:docGrid w:type="lines" w:linePitch="312"/>
        </w:sectPr>
      </w:pPr>
    </w:p>
    <w:p w14:paraId="3B51844C" w14:textId="77777777" w:rsidR="00CB5FBB" w:rsidRDefault="00000000">
      <w:pPr>
        <w:pStyle w:val="af6"/>
      </w:pPr>
      <w:bookmarkStart w:id="9" w:name="_Toc232419406"/>
      <w:r>
        <w:rPr>
          <w:rFonts w:hint="eastAsia"/>
        </w:rPr>
        <w:lastRenderedPageBreak/>
        <w:t xml:space="preserve">2 </w:t>
      </w:r>
      <w:r>
        <w:t>材料与方法</w:t>
      </w:r>
      <w:bookmarkEnd w:id="9"/>
    </w:p>
    <w:p w14:paraId="414D320C" w14:textId="77777777" w:rsidR="00CB5FBB" w:rsidRDefault="00000000">
      <w:pPr>
        <w:pStyle w:val="afe"/>
      </w:pPr>
      <w:r>
        <w:rPr>
          <w:rFonts w:hint="eastAsia"/>
        </w:rPr>
        <w:t>[</w:t>
      </w:r>
      <w:r>
        <w:t>材料与方法部分需客观、详实、规范撰写，保证研究过程清晰可追溯、实验方法可重复验证。需明确写明实验材料的具体名称、规格及来源购买途径；实验动物需注明品种、品系、日龄、体重、性别及饲养环境等信息；实验处理需明确分组方式、给药</w:t>
      </w:r>
      <w:r>
        <w:t xml:space="preserve"> / </w:t>
      </w:r>
      <w:r>
        <w:t>处理剂量、浓度、时间节点及日程安排；所有计量单位须规范统一、准确无误；实验方法与操作步骤需详细具体，逻辑清晰，便于他人重复验证，同时注明所用仪器型号、试剂厂家及相关参考方法依据。需明确说明实验的生物学重复与技术重复次数（</w:t>
      </w:r>
      <w:r>
        <w:rPr>
          <w:rFonts w:hint="eastAsia"/>
        </w:rPr>
        <w:t>n = ?</w:t>
      </w:r>
      <w:r>
        <w:t>），保证实验结果具有统计学可靠性；所有实验数据需注明统计分析方法、使用的统计软件及</w:t>
      </w:r>
      <w:r>
        <w:rPr>
          <w:b/>
          <w:bCs/>
        </w:rPr>
        <w:t>版本，明确差异显著性判定标准（如</w:t>
      </w:r>
      <w:r>
        <w:rPr>
          <w:b/>
          <w:bCs/>
        </w:rPr>
        <w:t xml:space="preserve"> P </w:t>
      </w:r>
      <w:r>
        <w:rPr>
          <w:b/>
          <w:bCs/>
        </w:rPr>
        <w:t>值）；数据处理过程需规范严谨、结果可复现，原始数据记录完整，图表标注清晰，计量单位统一准确。</w:t>
      </w:r>
      <w:r>
        <w:rPr>
          <w:rFonts w:hint="eastAsia"/>
        </w:rPr>
        <w:t>范例如下</w:t>
      </w:r>
      <w:r>
        <w:rPr>
          <w:rFonts w:hint="eastAsia"/>
        </w:rPr>
        <w:t>]</w:t>
      </w:r>
    </w:p>
    <w:p w14:paraId="4985D96A" w14:textId="77777777" w:rsidR="00CB5FBB" w:rsidRDefault="00000000">
      <w:pPr>
        <w:pStyle w:val="aff2"/>
      </w:pPr>
      <w:bookmarkStart w:id="10" w:name="_Toc232419407"/>
      <w:r>
        <w:rPr>
          <w:rFonts w:hint="eastAsia"/>
        </w:rPr>
        <w:t xml:space="preserve">2.1 </w:t>
      </w:r>
      <w:r>
        <w:t>主要仪器与设备</w:t>
      </w:r>
      <w:bookmarkEnd w:id="10"/>
    </w:p>
    <w:p w14:paraId="2EF2964B" w14:textId="77777777" w:rsidR="00CB5FBB" w:rsidRDefault="00000000">
      <w:pPr>
        <w:pStyle w:val="aff6"/>
      </w:pPr>
      <w:permStart w:id="969177033" w:edGrp="everyone"/>
      <w:r>
        <w:t>表</w:t>
      </w:r>
      <w:r>
        <w:t xml:space="preserve">2-1 </w:t>
      </w:r>
      <w:r>
        <w:t>主要仪器与设备</w:t>
      </w:r>
    </w:p>
    <w:p w14:paraId="2B7C8C78" w14:textId="77777777" w:rsidR="00CB5FBB" w:rsidRDefault="00000000">
      <w:pPr>
        <w:pStyle w:val="aff6"/>
      </w:pPr>
      <w:r>
        <w:t>Tab.2-1 Primary instrument and equipment</w:t>
      </w:r>
    </w:p>
    <w:tbl>
      <w:tblPr>
        <w:tblW w:w="4900" w:type="pct"/>
        <w:jc w:val="center"/>
        <w:tblBorders>
          <w:top w:val="single" w:sz="12" w:space="0" w:color="auto"/>
          <w:bottom w:val="single" w:sz="12" w:space="0" w:color="auto"/>
        </w:tblBorders>
        <w:tblLayout w:type="fixed"/>
        <w:tblLook w:val="04A0" w:firstRow="1" w:lastRow="0" w:firstColumn="1" w:lastColumn="0" w:noHBand="0" w:noVBand="1"/>
      </w:tblPr>
      <w:tblGrid>
        <w:gridCol w:w="4454"/>
        <w:gridCol w:w="3686"/>
      </w:tblGrid>
      <w:tr w:rsidR="00CB5FBB" w14:paraId="71EF4DB5" w14:textId="77777777">
        <w:trPr>
          <w:trHeight w:val="340"/>
          <w:jc w:val="center"/>
        </w:trPr>
        <w:tc>
          <w:tcPr>
            <w:tcW w:w="4454" w:type="dxa"/>
            <w:tcBorders>
              <w:top w:val="single" w:sz="12" w:space="0" w:color="auto"/>
              <w:left w:val="nil"/>
              <w:bottom w:val="single" w:sz="4" w:space="0" w:color="auto"/>
              <w:right w:val="nil"/>
            </w:tcBorders>
            <w:vAlign w:val="center"/>
          </w:tcPr>
          <w:p w14:paraId="6425AD89" w14:textId="77777777" w:rsidR="00CB5FBB" w:rsidRDefault="00000000">
            <w:pPr>
              <w:tabs>
                <w:tab w:val="left" w:pos="499"/>
              </w:tabs>
              <w:spacing w:line="240" w:lineRule="auto"/>
              <w:ind w:right="220" w:firstLineChars="0" w:firstLine="0"/>
              <w:jc w:val="center"/>
              <w:rPr>
                <w:color w:val="000000"/>
                <w:sz w:val="18"/>
                <w:szCs w:val="18"/>
              </w:rPr>
            </w:pPr>
            <w:r>
              <w:rPr>
                <w:rFonts w:ascii="宋体" w:hAnsi="宋体"/>
                <w:color w:val="000000"/>
                <w:sz w:val="18"/>
                <w:szCs w:val="18"/>
              </w:rPr>
              <w:t>仪器与设备</w:t>
            </w:r>
          </w:p>
        </w:tc>
        <w:tc>
          <w:tcPr>
            <w:tcW w:w="3686" w:type="dxa"/>
            <w:tcBorders>
              <w:top w:val="single" w:sz="12" w:space="0" w:color="auto"/>
              <w:left w:val="nil"/>
              <w:bottom w:val="single" w:sz="4" w:space="0" w:color="auto"/>
              <w:right w:val="nil"/>
            </w:tcBorders>
            <w:vAlign w:val="center"/>
          </w:tcPr>
          <w:p w14:paraId="147F47B9" w14:textId="77777777" w:rsidR="00CB5FBB" w:rsidRDefault="00000000">
            <w:pPr>
              <w:tabs>
                <w:tab w:val="left" w:pos="499"/>
              </w:tabs>
              <w:spacing w:line="240" w:lineRule="auto"/>
              <w:ind w:right="220" w:firstLineChars="0" w:firstLine="0"/>
              <w:jc w:val="center"/>
              <w:rPr>
                <w:color w:val="000000"/>
                <w:sz w:val="18"/>
                <w:szCs w:val="18"/>
              </w:rPr>
            </w:pPr>
            <w:r>
              <w:rPr>
                <w:rFonts w:ascii="宋体" w:hAnsi="宋体"/>
                <w:color w:val="000000"/>
                <w:sz w:val="18"/>
                <w:szCs w:val="18"/>
              </w:rPr>
              <w:t>生产厂家</w:t>
            </w:r>
          </w:p>
        </w:tc>
      </w:tr>
      <w:tr w:rsidR="00CB5FBB" w14:paraId="563B25A1" w14:textId="77777777">
        <w:trPr>
          <w:trHeight w:val="340"/>
          <w:jc w:val="center"/>
        </w:trPr>
        <w:tc>
          <w:tcPr>
            <w:tcW w:w="4454" w:type="dxa"/>
            <w:tcBorders>
              <w:top w:val="single" w:sz="4" w:space="0" w:color="auto"/>
              <w:left w:val="nil"/>
              <w:bottom w:val="nil"/>
              <w:right w:val="nil"/>
            </w:tcBorders>
            <w:vAlign w:val="center"/>
          </w:tcPr>
          <w:p w14:paraId="0485203A" w14:textId="77777777" w:rsidR="00CB5FBB" w:rsidRDefault="00000000">
            <w:pPr>
              <w:tabs>
                <w:tab w:val="left" w:pos="499"/>
              </w:tabs>
              <w:spacing w:line="240" w:lineRule="auto"/>
              <w:ind w:right="220" w:firstLineChars="0" w:firstLine="0"/>
              <w:rPr>
                <w:color w:val="000000"/>
                <w:sz w:val="18"/>
                <w:szCs w:val="18"/>
              </w:rPr>
            </w:pPr>
            <w:r>
              <w:rPr>
                <w:color w:val="000000"/>
                <w:sz w:val="18"/>
                <w:szCs w:val="18"/>
              </w:rPr>
              <w:t>-80℃</w:t>
            </w:r>
            <w:r>
              <w:rPr>
                <w:rFonts w:ascii="宋体" w:hAnsi="宋体"/>
                <w:color w:val="000000"/>
                <w:sz w:val="18"/>
                <w:szCs w:val="18"/>
              </w:rPr>
              <w:t>超低温冰箱</w:t>
            </w:r>
          </w:p>
        </w:tc>
        <w:tc>
          <w:tcPr>
            <w:tcW w:w="3686" w:type="dxa"/>
            <w:tcBorders>
              <w:top w:val="single" w:sz="4" w:space="0" w:color="auto"/>
              <w:left w:val="nil"/>
              <w:bottom w:val="nil"/>
              <w:right w:val="nil"/>
            </w:tcBorders>
            <w:vAlign w:val="center"/>
          </w:tcPr>
          <w:p w14:paraId="02321423" w14:textId="77777777" w:rsidR="00CB5FBB" w:rsidRDefault="00000000">
            <w:pPr>
              <w:tabs>
                <w:tab w:val="left" w:pos="499"/>
              </w:tabs>
              <w:spacing w:line="240" w:lineRule="auto"/>
              <w:ind w:right="220" w:firstLineChars="0" w:firstLine="0"/>
              <w:rPr>
                <w:color w:val="000000"/>
                <w:sz w:val="18"/>
                <w:szCs w:val="18"/>
              </w:rPr>
            </w:pPr>
            <w:r>
              <w:rPr>
                <w:rFonts w:ascii="宋体" w:hAnsi="宋体"/>
                <w:color w:val="000000"/>
                <w:sz w:val="18"/>
                <w:szCs w:val="18"/>
              </w:rPr>
              <w:t>美国</w:t>
            </w:r>
            <w:proofErr w:type="spellStart"/>
            <w:r>
              <w:rPr>
                <w:color w:val="000000"/>
                <w:sz w:val="18"/>
                <w:szCs w:val="18"/>
              </w:rPr>
              <w:t>Thermo</w:t>
            </w:r>
            <w:proofErr w:type="spellEnd"/>
            <w:r>
              <w:rPr>
                <w:color w:val="000000"/>
                <w:sz w:val="18"/>
                <w:szCs w:val="18"/>
              </w:rPr>
              <w:t xml:space="preserve"> Fisher Scientific</w:t>
            </w:r>
            <w:r>
              <w:rPr>
                <w:rFonts w:ascii="宋体" w:hAnsi="宋体"/>
                <w:color w:val="000000"/>
                <w:sz w:val="18"/>
                <w:szCs w:val="18"/>
              </w:rPr>
              <w:t>公司</w:t>
            </w:r>
          </w:p>
        </w:tc>
      </w:tr>
      <w:tr w:rsidR="00CB5FBB" w14:paraId="689FCE0A" w14:textId="77777777">
        <w:trPr>
          <w:trHeight w:val="340"/>
          <w:jc w:val="center"/>
        </w:trPr>
        <w:tc>
          <w:tcPr>
            <w:tcW w:w="4454" w:type="dxa"/>
            <w:tcBorders>
              <w:top w:val="nil"/>
              <w:left w:val="nil"/>
              <w:bottom w:val="nil"/>
              <w:right w:val="nil"/>
            </w:tcBorders>
            <w:vAlign w:val="center"/>
          </w:tcPr>
          <w:p w14:paraId="361F840F" w14:textId="77777777" w:rsidR="00CB5FBB" w:rsidRDefault="00000000">
            <w:pPr>
              <w:tabs>
                <w:tab w:val="left" w:pos="499"/>
              </w:tabs>
              <w:spacing w:line="240" w:lineRule="auto"/>
              <w:ind w:right="220" w:firstLineChars="0" w:firstLine="0"/>
              <w:rPr>
                <w:color w:val="000000"/>
                <w:sz w:val="18"/>
                <w:szCs w:val="18"/>
              </w:rPr>
            </w:pPr>
            <w:r>
              <w:rPr>
                <w:rFonts w:ascii="宋体" w:hAnsi="宋体"/>
                <w:color w:val="000000"/>
                <w:sz w:val="18"/>
                <w:szCs w:val="18"/>
              </w:rPr>
              <w:t>电热恒温培养箱</w:t>
            </w:r>
          </w:p>
        </w:tc>
        <w:tc>
          <w:tcPr>
            <w:tcW w:w="3686" w:type="dxa"/>
            <w:tcBorders>
              <w:top w:val="nil"/>
              <w:left w:val="nil"/>
              <w:bottom w:val="nil"/>
              <w:right w:val="nil"/>
            </w:tcBorders>
            <w:vAlign w:val="center"/>
          </w:tcPr>
          <w:p w14:paraId="7219F383" w14:textId="77777777" w:rsidR="00CB5FBB" w:rsidRDefault="00000000">
            <w:pPr>
              <w:tabs>
                <w:tab w:val="left" w:pos="499"/>
              </w:tabs>
              <w:spacing w:line="240" w:lineRule="auto"/>
              <w:ind w:right="220" w:firstLineChars="0" w:firstLine="0"/>
              <w:rPr>
                <w:color w:val="000000"/>
                <w:sz w:val="18"/>
                <w:szCs w:val="18"/>
              </w:rPr>
            </w:pPr>
            <w:r>
              <w:rPr>
                <w:rFonts w:ascii="宋体" w:hAnsi="宋体"/>
                <w:color w:val="000000"/>
                <w:sz w:val="18"/>
                <w:szCs w:val="18"/>
              </w:rPr>
              <w:t>上海跃进医疗器械厂</w:t>
            </w:r>
          </w:p>
        </w:tc>
      </w:tr>
      <w:tr w:rsidR="00CB5FBB" w14:paraId="759D5AF5" w14:textId="77777777">
        <w:trPr>
          <w:trHeight w:val="340"/>
          <w:jc w:val="center"/>
        </w:trPr>
        <w:tc>
          <w:tcPr>
            <w:tcW w:w="4454" w:type="dxa"/>
            <w:tcBorders>
              <w:top w:val="nil"/>
              <w:left w:val="nil"/>
              <w:bottom w:val="nil"/>
              <w:right w:val="nil"/>
            </w:tcBorders>
            <w:vAlign w:val="center"/>
          </w:tcPr>
          <w:p w14:paraId="55B053BC" w14:textId="77777777" w:rsidR="00CB5FBB" w:rsidRDefault="00000000">
            <w:pPr>
              <w:tabs>
                <w:tab w:val="left" w:pos="499"/>
              </w:tabs>
              <w:spacing w:line="240" w:lineRule="auto"/>
              <w:ind w:right="220" w:firstLineChars="0" w:firstLine="0"/>
              <w:rPr>
                <w:color w:val="000000"/>
                <w:sz w:val="18"/>
                <w:szCs w:val="18"/>
              </w:rPr>
            </w:pPr>
            <w:r>
              <w:rPr>
                <w:rFonts w:ascii="宋体" w:hAnsi="宋体"/>
                <w:color w:val="000000"/>
                <w:sz w:val="18"/>
                <w:szCs w:val="18"/>
              </w:rPr>
              <w:t>低温高速离心机</w:t>
            </w:r>
          </w:p>
        </w:tc>
        <w:tc>
          <w:tcPr>
            <w:tcW w:w="3686" w:type="dxa"/>
            <w:tcBorders>
              <w:top w:val="nil"/>
              <w:left w:val="nil"/>
              <w:bottom w:val="nil"/>
              <w:right w:val="nil"/>
            </w:tcBorders>
            <w:vAlign w:val="center"/>
          </w:tcPr>
          <w:p w14:paraId="68894808" w14:textId="77777777" w:rsidR="00CB5FBB" w:rsidRDefault="00000000">
            <w:pPr>
              <w:tabs>
                <w:tab w:val="left" w:pos="499"/>
              </w:tabs>
              <w:spacing w:line="240" w:lineRule="auto"/>
              <w:ind w:right="220" w:firstLineChars="0" w:firstLine="0"/>
              <w:rPr>
                <w:color w:val="000000"/>
                <w:sz w:val="18"/>
                <w:szCs w:val="18"/>
              </w:rPr>
            </w:pPr>
            <w:r>
              <w:rPr>
                <w:rFonts w:ascii="宋体" w:hAnsi="宋体"/>
                <w:color w:val="000000"/>
                <w:sz w:val="18"/>
                <w:szCs w:val="18"/>
              </w:rPr>
              <w:t>德国</w:t>
            </w:r>
            <w:r>
              <w:rPr>
                <w:color w:val="000000"/>
                <w:sz w:val="18"/>
                <w:szCs w:val="18"/>
              </w:rPr>
              <w:t>BECKMAN</w:t>
            </w:r>
            <w:r>
              <w:rPr>
                <w:rFonts w:ascii="宋体" w:hAnsi="宋体"/>
                <w:color w:val="000000"/>
                <w:sz w:val="18"/>
                <w:szCs w:val="18"/>
              </w:rPr>
              <w:t>公司</w:t>
            </w:r>
          </w:p>
        </w:tc>
      </w:tr>
      <w:tr w:rsidR="00CB5FBB" w14:paraId="72E942BD" w14:textId="77777777">
        <w:trPr>
          <w:trHeight w:val="340"/>
          <w:jc w:val="center"/>
        </w:trPr>
        <w:tc>
          <w:tcPr>
            <w:tcW w:w="4454" w:type="dxa"/>
            <w:tcBorders>
              <w:top w:val="nil"/>
              <w:left w:val="nil"/>
              <w:bottom w:val="nil"/>
              <w:right w:val="nil"/>
            </w:tcBorders>
            <w:vAlign w:val="center"/>
          </w:tcPr>
          <w:p w14:paraId="30B7531B" w14:textId="77777777" w:rsidR="00CB5FBB" w:rsidRDefault="00000000">
            <w:pPr>
              <w:tabs>
                <w:tab w:val="left" w:pos="499"/>
              </w:tabs>
              <w:spacing w:line="240" w:lineRule="auto"/>
              <w:ind w:right="220" w:firstLineChars="0" w:firstLine="0"/>
              <w:rPr>
                <w:color w:val="000000"/>
                <w:sz w:val="18"/>
                <w:szCs w:val="18"/>
              </w:rPr>
            </w:pPr>
            <w:r>
              <w:rPr>
                <w:rFonts w:ascii="宋体" w:hAnsi="宋体"/>
                <w:color w:val="000000"/>
                <w:sz w:val="18"/>
                <w:szCs w:val="18"/>
              </w:rPr>
              <w:t>高速台式离心机</w:t>
            </w:r>
          </w:p>
        </w:tc>
        <w:tc>
          <w:tcPr>
            <w:tcW w:w="3686" w:type="dxa"/>
            <w:tcBorders>
              <w:top w:val="nil"/>
              <w:left w:val="nil"/>
              <w:bottom w:val="nil"/>
              <w:right w:val="nil"/>
            </w:tcBorders>
            <w:vAlign w:val="center"/>
          </w:tcPr>
          <w:p w14:paraId="03FBEE15" w14:textId="77777777" w:rsidR="00CB5FBB" w:rsidRDefault="00000000">
            <w:pPr>
              <w:tabs>
                <w:tab w:val="left" w:pos="499"/>
              </w:tabs>
              <w:spacing w:line="240" w:lineRule="auto"/>
              <w:ind w:right="220" w:firstLineChars="0" w:firstLine="0"/>
              <w:rPr>
                <w:color w:val="000000"/>
                <w:sz w:val="18"/>
                <w:szCs w:val="18"/>
              </w:rPr>
            </w:pPr>
            <w:r>
              <w:rPr>
                <w:rFonts w:ascii="宋体" w:hAnsi="宋体"/>
                <w:color w:val="000000"/>
                <w:sz w:val="18"/>
                <w:szCs w:val="18"/>
              </w:rPr>
              <w:t>杭州奥盛仪器有限公司</w:t>
            </w:r>
          </w:p>
        </w:tc>
      </w:tr>
      <w:tr w:rsidR="00CB5FBB" w14:paraId="319D0D9E" w14:textId="77777777">
        <w:trPr>
          <w:trHeight w:val="340"/>
          <w:jc w:val="center"/>
        </w:trPr>
        <w:tc>
          <w:tcPr>
            <w:tcW w:w="4454" w:type="dxa"/>
            <w:tcBorders>
              <w:top w:val="nil"/>
              <w:left w:val="nil"/>
              <w:bottom w:val="nil"/>
              <w:right w:val="nil"/>
            </w:tcBorders>
            <w:vAlign w:val="center"/>
          </w:tcPr>
          <w:p w14:paraId="79B245D1" w14:textId="77777777" w:rsidR="00CB5FBB" w:rsidRDefault="00000000">
            <w:pPr>
              <w:tabs>
                <w:tab w:val="left" w:pos="499"/>
              </w:tabs>
              <w:spacing w:line="240" w:lineRule="auto"/>
              <w:ind w:right="220" w:firstLineChars="0" w:firstLine="0"/>
              <w:rPr>
                <w:color w:val="000000"/>
                <w:sz w:val="18"/>
                <w:szCs w:val="18"/>
              </w:rPr>
            </w:pPr>
            <w:r>
              <w:rPr>
                <w:color w:val="000000"/>
                <w:sz w:val="18"/>
                <w:szCs w:val="18"/>
              </w:rPr>
              <w:t>PowerGenModel125</w:t>
            </w:r>
            <w:r>
              <w:rPr>
                <w:rFonts w:ascii="宋体" w:hAnsi="宋体"/>
                <w:color w:val="000000"/>
                <w:sz w:val="18"/>
                <w:szCs w:val="18"/>
              </w:rPr>
              <w:t>匀浆器</w:t>
            </w:r>
          </w:p>
        </w:tc>
        <w:tc>
          <w:tcPr>
            <w:tcW w:w="3686" w:type="dxa"/>
            <w:tcBorders>
              <w:top w:val="nil"/>
              <w:left w:val="nil"/>
              <w:bottom w:val="nil"/>
              <w:right w:val="nil"/>
            </w:tcBorders>
            <w:vAlign w:val="center"/>
          </w:tcPr>
          <w:p w14:paraId="472D5830" w14:textId="77777777" w:rsidR="00CB5FBB" w:rsidRDefault="00000000">
            <w:pPr>
              <w:tabs>
                <w:tab w:val="left" w:pos="499"/>
              </w:tabs>
              <w:spacing w:line="240" w:lineRule="auto"/>
              <w:ind w:right="220" w:firstLineChars="0" w:firstLine="0"/>
              <w:rPr>
                <w:color w:val="000000"/>
                <w:sz w:val="18"/>
                <w:szCs w:val="18"/>
              </w:rPr>
            </w:pPr>
            <w:r>
              <w:rPr>
                <w:rFonts w:ascii="宋体" w:hAnsi="宋体"/>
                <w:color w:val="000000"/>
                <w:sz w:val="18"/>
                <w:szCs w:val="18"/>
              </w:rPr>
              <w:t>美国</w:t>
            </w:r>
            <w:proofErr w:type="spellStart"/>
            <w:r>
              <w:rPr>
                <w:color w:val="000000"/>
                <w:sz w:val="18"/>
                <w:szCs w:val="18"/>
              </w:rPr>
              <w:t>ThermoFisherScientific</w:t>
            </w:r>
            <w:proofErr w:type="spellEnd"/>
            <w:r>
              <w:rPr>
                <w:rFonts w:ascii="宋体" w:hAnsi="宋体"/>
                <w:color w:val="000000"/>
                <w:sz w:val="18"/>
                <w:szCs w:val="18"/>
              </w:rPr>
              <w:t>公司</w:t>
            </w:r>
          </w:p>
        </w:tc>
      </w:tr>
      <w:tr w:rsidR="00CB5FBB" w14:paraId="4776000B" w14:textId="77777777">
        <w:trPr>
          <w:trHeight w:val="340"/>
          <w:jc w:val="center"/>
        </w:trPr>
        <w:tc>
          <w:tcPr>
            <w:tcW w:w="4454" w:type="dxa"/>
            <w:tcBorders>
              <w:top w:val="nil"/>
              <w:left w:val="nil"/>
              <w:bottom w:val="nil"/>
              <w:right w:val="nil"/>
            </w:tcBorders>
            <w:vAlign w:val="center"/>
          </w:tcPr>
          <w:p w14:paraId="71203A9D" w14:textId="77777777" w:rsidR="00CB5FBB" w:rsidRDefault="00000000">
            <w:pPr>
              <w:tabs>
                <w:tab w:val="left" w:pos="499"/>
              </w:tabs>
              <w:spacing w:line="240" w:lineRule="auto"/>
              <w:ind w:right="220" w:firstLineChars="0" w:firstLine="0"/>
              <w:rPr>
                <w:color w:val="000000"/>
                <w:sz w:val="18"/>
                <w:szCs w:val="18"/>
              </w:rPr>
            </w:pPr>
            <w:r>
              <w:rPr>
                <w:rFonts w:ascii="宋体" w:hAnsi="宋体"/>
                <w:color w:val="000000"/>
                <w:sz w:val="18"/>
                <w:szCs w:val="18"/>
              </w:rPr>
              <w:t>快速混匀器</w:t>
            </w:r>
          </w:p>
        </w:tc>
        <w:tc>
          <w:tcPr>
            <w:tcW w:w="3686" w:type="dxa"/>
            <w:tcBorders>
              <w:top w:val="nil"/>
              <w:left w:val="nil"/>
              <w:bottom w:val="nil"/>
              <w:right w:val="nil"/>
            </w:tcBorders>
            <w:vAlign w:val="center"/>
          </w:tcPr>
          <w:p w14:paraId="7C759F87" w14:textId="77777777" w:rsidR="00CB5FBB" w:rsidRDefault="00000000">
            <w:pPr>
              <w:tabs>
                <w:tab w:val="left" w:pos="499"/>
              </w:tabs>
              <w:spacing w:line="240" w:lineRule="auto"/>
              <w:ind w:right="220" w:firstLineChars="0" w:firstLine="0"/>
              <w:rPr>
                <w:color w:val="000000"/>
                <w:sz w:val="18"/>
                <w:szCs w:val="18"/>
              </w:rPr>
            </w:pPr>
            <w:r>
              <w:rPr>
                <w:rFonts w:ascii="宋体" w:hAnsi="宋体"/>
                <w:color w:val="000000"/>
                <w:sz w:val="18"/>
                <w:szCs w:val="18"/>
              </w:rPr>
              <w:t>江苏中大仪器厂</w:t>
            </w:r>
          </w:p>
        </w:tc>
      </w:tr>
      <w:tr w:rsidR="00CB5FBB" w14:paraId="29775997" w14:textId="77777777">
        <w:trPr>
          <w:trHeight w:val="340"/>
          <w:jc w:val="center"/>
        </w:trPr>
        <w:tc>
          <w:tcPr>
            <w:tcW w:w="4454" w:type="dxa"/>
            <w:tcBorders>
              <w:top w:val="nil"/>
              <w:left w:val="nil"/>
              <w:bottom w:val="nil"/>
              <w:right w:val="nil"/>
            </w:tcBorders>
            <w:vAlign w:val="center"/>
          </w:tcPr>
          <w:p w14:paraId="14EC8588" w14:textId="77777777" w:rsidR="00CB5FBB" w:rsidRDefault="00000000">
            <w:pPr>
              <w:tabs>
                <w:tab w:val="left" w:pos="499"/>
              </w:tabs>
              <w:spacing w:line="240" w:lineRule="auto"/>
              <w:ind w:right="220" w:firstLineChars="0" w:firstLine="0"/>
              <w:rPr>
                <w:color w:val="000000"/>
                <w:sz w:val="18"/>
                <w:szCs w:val="18"/>
              </w:rPr>
            </w:pPr>
            <w:r>
              <w:rPr>
                <w:rFonts w:ascii="宋体" w:hAnsi="宋体"/>
                <w:color w:val="000000"/>
                <w:sz w:val="18"/>
                <w:szCs w:val="18"/>
              </w:rPr>
              <w:t>手持式便携</w:t>
            </w:r>
            <w:r>
              <w:rPr>
                <w:color w:val="000000"/>
                <w:sz w:val="18"/>
                <w:szCs w:val="18"/>
              </w:rPr>
              <w:t>pH</w:t>
            </w:r>
            <w:r>
              <w:rPr>
                <w:rFonts w:ascii="宋体" w:hAnsi="宋体"/>
                <w:color w:val="000000"/>
                <w:sz w:val="18"/>
                <w:szCs w:val="18"/>
              </w:rPr>
              <w:t>计</w:t>
            </w:r>
          </w:p>
        </w:tc>
        <w:tc>
          <w:tcPr>
            <w:tcW w:w="3686" w:type="dxa"/>
            <w:tcBorders>
              <w:top w:val="nil"/>
              <w:left w:val="nil"/>
              <w:bottom w:val="nil"/>
              <w:right w:val="nil"/>
            </w:tcBorders>
            <w:vAlign w:val="center"/>
          </w:tcPr>
          <w:p w14:paraId="50CB7C96" w14:textId="77777777" w:rsidR="00CB5FBB" w:rsidRDefault="00000000">
            <w:pPr>
              <w:tabs>
                <w:tab w:val="left" w:pos="499"/>
              </w:tabs>
              <w:spacing w:line="240" w:lineRule="auto"/>
              <w:ind w:right="220" w:firstLineChars="0" w:firstLine="0"/>
              <w:rPr>
                <w:color w:val="000000"/>
                <w:sz w:val="18"/>
                <w:szCs w:val="18"/>
              </w:rPr>
            </w:pPr>
            <w:r>
              <w:rPr>
                <w:rFonts w:ascii="宋体" w:hAnsi="宋体"/>
                <w:color w:val="000000"/>
                <w:sz w:val="18"/>
                <w:szCs w:val="18"/>
              </w:rPr>
              <w:t>唐山力</w:t>
            </w:r>
            <w:proofErr w:type="gramStart"/>
            <w:r>
              <w:rPr>
                <w:rFonts w:ascii="宋体" w:hAnsi="宋体"/>
                <w:color w:val="000000"/>
                <w:sz w:val="18"/>
                <w:szCs w:val="18"/>
              </w:rPr>
              <w:t>辰科技</w:t>
            </w:r>
            <w:proofErr w:type="gramEnd"/>
            <w:r>
              <w:rPr>
                <w:rFonts w:ascii="宋体" w:hAnsi="宋体"/>
                <w:color w:val="000000"/>
                <w:sz w:val="18"/>
                <w:szCs w:val="18"/>
              </w:rPr>
              <w:t>有限公司</w:t>
            </w:r>
          </w:p>
        </w:tc>
      </w:tr>
      <w:tr w:rsidR="00CB5FBB" w14:paraId="21FF5303" w14:textId="77777777">
        <w:trPr>
          <w:trHeight w:val="340"/>
          <w:jc w:val="center"/>
        </w:trPr>
        <w:tc>
          <w:tcPr>
            <w:tcW w:w="4454" w:type="dxa"/>
            <w:tcBorders>
              <w:top w:val="nil"/>
              <w:left w:val="nil"/>
              <w:bottom w:val="single" w:sz="12" w:space="0" w:color="auto"/>
              <w:right w:val="nil"/>
            </w:tcBorders>
            <w:vAlign w:val="center"/>
          </w:tcPr>
          <w:p w14:paraId="62B4BA30" w14:textId="77777777" w:rsidR="00CB5FBB" w:rsidRDefault="00000000">
            <w:pPr>
              <w:tabs>
                <w:tab w:val="left" w:pos="499"/>
              </w:tabs>
              <w:spacing w:line="240" w:lineRule="auto"/>
              <w:ind w:right="220" w:firstLineChars="0" w:firstLine="0"/>
              <w:rPr>
                <w:color w:val="000000"/>
                <w:sz w:val="18"/>
                <w:szCs w:val="18"/>
              </w:rPr>
            </w:pPr>
            <w:r>
              <w:rPr>
                <w:rFonts w:ascii="宋体" w:hAnsi="宋体"/>
                <w:color w:val="000000"/>
                <w:sz w:val="18"/>
                <w:szCs w:val="18"/>
              </w:rPr>
              <w:t>涡旋泵</w:t>
            </w:r>
          </w:p>
        </w:tc>
        <w:tc>
          <w:tcPr>
            <w:tcW w:w="3686" w:type="dxa"/>
            <w:tcBorders>
              <w:top w:val="nil"/>
              <w:left w:val="nil"/>
              <w:bottom w:val="single" w:sz="12" w:space="0" w:color="auto"/>
              <w:right w:val="nil"/>
            </w:tcBorders>
            <w:vAlign w:val="center"/>
          </w:tcPr>
          <w:p w14:paraId="4A57B674" w14:textId="77777777" w:rsidR="00CB5FBB" w:rsidRDefault="00000000">
            <w:pPr>
              <w:tabs>
                <w:tab w:val="left" w:pos="499"/>
              </w:tabs>
              <w:spacing w:line="240" w:lineRule="auto"/>
              <w:ind w:right="220" w:firstLineChars="0" w:firstLine="0"/>
              <w:rPr>
                <w:color w:val="000000"/>
                <w:sz w:val="18"/>
                <w:szCs w:val="18"/>
              </w:rPr>
            </w:pPr>
            <w:r>
              <w:rPr>
                <w:rFonts w:ascii="宋体" w:hAnsi="宋体"/>
                <w:color w:val="000000"/>
                <w:sz w:val="18"/>
                <w:szCs w:val="18"/>
              </w:rPr>
              <w:t>群安实验仪器有限公司</w:t>
            </w:r>
          </w:p>
        </w:tc>
      </w:tr>
    </w:tbl>
    <w:p w14:paraId="5B206FE2" w14:textId="77777777" w:rsidR="00CB5FBB" w:rsidRDefault="00CB5FBB">
      <w:pPr>
        <w:ind w:firstLineChars="0" w:firstLine="0"/>
      </w:pPr>
    </w:p>
    <w:p w14:paraId="06710A1F" w14:textId="77777777" w:rsidR="00CB5FBB" w:rsidRDefault="00000000">
      <w:pPr>
        <w:pStyle w:val="aff2"/>
      </w:pPr>
      <w:bookmarkStart w:id="11" w:name="_Toc232419408"/>
      <w:r>
        <w:rPr>
          <w:rFonts w:hint="eastAsia"/>
        </w:rPr>
        <w:t xml:space="preserve">2.2 </w:t>
      </w:r>
      <w:r>
        <w:t>主要试剂</w:t>
      </w:r>
      <w:bookmarkEnd w:id="11"/>
    </w:p>
    <w:p w14:paraId="399DF2A5" w14:textId="77777777" w:rsidR="00CB5FBB" w:rsidRDefault="00000000">
      <w:pPr>
        <w:pStyle w:val="aff6"/>
      </w:pPr>
      <w:r>
        <w:t>表</w:t>
      </w:r>
      <w:r>
        <w:t xml:space="preserve">2-2 </w:t>
      </w:r>
      <w:r>
        <w:t>主要试剂</w:t>
      </w:r>
    </w:p>
    <w:p w14:paraId="7B72844C" w14:textId="77777777" w:rsidR="00CB5FBB" w:rsidRDefault="00000000">
      <w:pPr>
        <w:pStyle w:val="aff6"/>
      </w:pPr>
      <w:r>
        <w:t>Tab.2-2 Primary reagent</w:t>
      </w:r>
    </w:p>
    <w:tbl>
      <w:tblPr>
        <w:tblW w:w="49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671"/>
        <w:gridCol w:w="3469"/>
      </w:tblGrid>
      <w:tr w:rsidR="00CB5FBB" w14:paraId="5C781217" w14:textId="77777777">
        <w:trPr>
          <w:trHeight w:val="340"/>
          <w:jc w:val="center"/>
        </w:trPr>
        <w:tc>
          <w:tcPr>
            <w:tcW w:w="5066" w:type="dxa"/>
            <w:tcBorders>
              <w:top w:val="single" w:sz="12" w:space="0" w:color="auto"/>
              <w:left w:val="nil"/>
              <w:bottom w:val="single" w:sz="4" w:space="0" w:color="auto"/>
              <w:right w:val="nil"/>
            </w:tcBorders>
            <w:vAlign w:val="center"/>
          </w:tcPr>
          <w:p w14:paraId="734A4813" w14:textId="77777777" w:rsidR="00CB5FBB" w:rsidRDefault="00000000">
            <w:pPr>
              <w:tabs>
                <w:tab w:val="left" w:pos="499"/>
              </w:tabs>
              <w:spacing w:line="240" w:lineRule="auto"/>
              <w:ind w:firstLineChars="0" w:firstLine="0"/>
              <w:jc w:val="center"/>
              <w:rPr>
                <w:color w:val="000000"/>
                <w:sz w:val="18"/>
                <w:szCs w:val="18"/>
              </w:rPr>
            </w:pPr>
            <w:r>
              <w:rPr>
                <w:rFonts w:ascii="宋体" w:hAnsi="宋体"/>
                <w:color w:val="000000"/>
                <w:sz w:val="18"/>
                <w:szCs w:val="18"/>
              </w:rPr>
              <w:t>药品与试剂</w:t>
            </w:r>
          </w:p>
        </w:tc>
        <w:tc>
          <w:tcPr>
            <w:tcW w:w="3757" w:type="dxa"/>
            <w:tcBorders>
              <w:top w:val="single" w:sz="12" w:space="0" w:color="auto"/>
              <w:left w:val="nil"/>
              <w:bottom w:val="single" w:sz="4" w:space="0" w:color="auto"/>
              <w:right w:val="nil"/>
            </w:tcBorders>
            <w:vAlign w:val="center"/>
          </w:tcPr>
          <w:p w14:paraId="03BBF379" w14:textId="77777777" w:rsidR="00CB5FBB" w:rsidRDefault="00000000">
            <w:pPr>
              <w:tabs>
                <w:tab w:val="left" w:pos="499"/>
              </w:tabs>
              <w:spacing w:line="240" w:lineRule="auto"/>
              <w:ind w:firstLineChars="0" w:firstLine="0"/>
              <w:jc w:val="center"/>
              <w:rPr>
                <w:color w:val="000000"/>
                <w:sz w:val="18"/>
                <w:szCs w:val="18"/>
              </w:rPr>
            </w:pPr>
            <w:r>
              <w:rPr>
                <w:rFonts w:ascii="宋体" w:hAnsi="宋体"/>
                <w:color w:val="000000"/>
                <w:sz w:val="18"/>
                <w:szCs w:val="18"/>
              </w:rPr>
              <w:t>生产厂家</w:t>
            </w:r>
          </w:p>
        </w:tc>
      </w:tr>
      <w:tr w:rsidR="00CB5FBB" w14:paraId="571645C9" w14:textId="77777777">
        <w:trPr>
          <w:trHeight w:val="340"/>
          <w:jc w:val="center"/>
        </w:trPr>
        <w:tc>
          <w:tcPr>
            <w:tcW w:w="5066" w:type="dxa"/>
            <w:tcBorders>
              <w:top w:val="single" w:sz="4" w:space="0" w:color="auto"/>
              <w:left w:val="nil"/>
              <w:bottom w:val="nil"/>
              <w:right w:val="nil"/>
            </w:tcBorders>
            <w:vAlign w:val="center"/>
          </w:tcPr>
          <w:p w14:paraId="055AF1D9" w14:textId="77777777" w:rsidR="00CB5FBB" w:rsidRDefault="00000000">
            <w:pPr>
              <w:tabs>
                <w:tab w:val="left" w:pos="499"/>
              </w:tabs>
              <w:spacing w:line="240" w:lineRule="auto"/>
              <w:ind w:firstLineChars="0" w:firstLine="0"/>
              <w:rPr>
                <w:color w:val="000000"/>
                <w:sz w:val="18"/>
                <w:szCs w:val="18"/>
              </w:rPr>
            </w:pPr>
            <w:r>
              <w:rPr>
                <w:color w:val="000000"/>
                <w:sz w:val="18"/>
                <w:szCs w:val="18"/>
              </w:rPr>
              <w:t>LPS</w:t>
            </w:r>
            <w:r>
              <w:rPr>
                <w:rFonts w:ascii="宋体" w:hAnsi="宋体"/>
                <w:color w:val="000000"/>
                <w:sz w:val="18"/>
                <w:szCs w:val="18"/>
              </w:rPr>
              <w:t>（分析纯，</w:t>
            </w:r>
            <w:r>
              <w:rPr>
                <w:color w:val="000000"/>
                <w:sz w:val="18"/>
                <w:szCs w:val="18"/>
              </w:rPr>
              <w:t>99%</w:t>
            </w:r>
            <w:r>
              <w:rPr>
                <w:rFonts w:ascii="宋体" w:hAnsi="宋体"/>
                <w:color w:val="000000"/>
                <w:sz w:val="18"/>
                <w:szCs w:val="18"/>
              </w:rPr>
              <w:t>，用于动物实验）</w:t>
            </w:r>
          </w:p>
        </w:tc>
        <w:tc>
          <w:tcPr>
            <w:tcW w:w="3757" w:type="dxa"/>
            <w:tcBorders>
              <w:top w:val="single" w:sz="4" w:space="0" w:color="auto"/>
              <w:left w:val="nil"/>
              <w:bottom w:val="nil"/>
              <w:right w:val="nil"/>
            </w:tcBorders>
            <w:vAlign w:val="center"/>
          </w:tcPr>
          <w:p w14:paraId="0CFCBE1E" w14:textId="77777777" w:rsidR="00CB5FBB" w:rsidRDefault="00000000">
            <w:pPr>
              <w:tabs>
                <w:tab w:val="left" w:pos="499"/>
              </w:tabs>
              <w:spacing w:line="240" w:lineRule="auto"/>
              <w:ind w:firstLineChars="0" w:firstLine="0"/>
              <w:rPr>
                <w:color w:val="000000"/>
                <w:sz w:val="18"/>
                <w:szCs w:val="18"/>
              </w:rPr>
            </w:pPr>
            <w:r>
              <w:rPr>
                <w:rFonts w:ascii="宋体" w:hAnsi="宋体"/>
                <w:color w:val="000000"/>
                <w:sz w:val="18"/>
                <w:szCs w:val="18"/>
              </w:rPr>
              <w:t>美国</w:t>
            </w:r>
            <w:r>
              <w:rPr>
                <w:color w:val="000000"/>
                <w:sz w:val="18"/>
                <w:szCs w:val="18"/>
              </w:rPr>
              <w:t>sigma</w:t>
            </w:r>
          </w:p>
        </w:tc>
      </w:tr>
      <w:tr w:rsidR="00CB5FBB" w14:paraId="2B2369C6" w14:textId="77777777">
        <w:trPr>
          <w:trHeight w:val="340"/>
          <w:jc w:val="center"/>
        </w:trPr>
        <w:tc>
          <w:tcPr>
            <w:tcW w:w="5066" w:type="dxa"/>
            <w:tcBorders>
              <w:top w:val="nil"/>
              <w:left w:val="nil"/>
              <w:bottom w:val="nil"/>
              <w:right w:val="nil"/>
            </w:tcBorders>
            <w:vAlign w:val="center"/>
          </w:tcPr>
          <w:p w14:paraId="0C801567" w14:textId="77777777" w:rsidR="00CB5FBB" w:rsidRDefault="00000000">
            <w:pPr>
              <w:tabs>
                <w:tab w:val="left" w:pos="499"/>
              </w:tabs>
              <w:spacing w:line="240" w:lineRule="auto"/>
              <w:ind w:firstLineChars="0" w:firstLine="0"/>
              <w:rPr>
                <w:color w:val="000000"/>
                <w:sz w:val="18"/>
                <w:szCs w:val="18"/>
              </w:rPr>
            </w:pPr>
            <w:r>
              <w:rPr>
                <w:color w:val="000000"/>
                <w:sz w:val="18"/>
                <w:szCs w:val="18"/>
              </w:rPr>
              <w:t>LYC</w:t>
            </w:r>
            <w:r>
              <w:rPr>
                <w:rFonts w:ascii="宋体" w:hAnsi="宋体"/>
                <w:color w:val="000000"/>
                <w:sz w:val="18"/>
                <w:szCs w:val="18"/>
              </w:rPr>
              <w:t>（</w:t>
            </w:r>
            <w:r>
              <w:rPr>
                <w:color w:val="000000"/>
                <w:sz w:val="18"/>
                <w:szCs w:val="18"/>
              </w:rPr>
              <w:t>≥90%</w:t>
            </w:r>
            <w:r>
              <w:rPr>
                <w:rFonts w:ascii="宋体" w:hAnsi="宋体"/>
                <w:color w:val="000000"/>
                <w:sz w:val="18"/>
                <w:szCs w:val="18"/>
              </w:rPr>
              <w:t>，用于动物试验）</w:t>
            </w:r>
          </w:p>
        </w:tc>
        <w:tc>
          <w:tcPr>
            <w:tcW w:w="3757" w:type="dxa"/>
            <w:tcBorders>
              <w:top w:val="nil"/>
              <w:left w:val="nil"/>
              <w:bottom w:val="nil"/>
              <w:right w:val="nil"/>
            </w:tcBorders>
            <w:vAlign w:val="center"/>
          </w:tcPr>
          <w:p w14:paraId="28C1BAAE" w14:textId="77777777" w:rsidR="00CB5FBB" w:rsidRDefault="00000000">
            <w:pPr>
              <w:tabs>
                <w:tab w:val="left" w:pos="499"/>
              </w:tabs>
              <w:spacing w:line="240" w:lineRule="auto"/>
              <w:ind w:firstLineChars="0" w:firstLine="0"/>
              <w:rPr>
                <w:color w:val="000000"/>
                <w:sz w:val="18"/>
                <w:szCs w:val="18"/>
              </w:rPr>
            </w:pPr>
            <w:r>
              <w:rPr>
                <w:rFonts w:ascii="宋体" w:hAnsi="宋体"/>
                <w:color w:val="000000"/>
                <w:sz w:val="18"/>
                <w:szCs w:val="18"/>
              </w:rPr>
              <w:t>北京索莱宝科技有限公司</w:t>
            </w:r>
          </w:p>
        </w:tc>
      </w:tr>
      <w:tr w:rsidR="00CB5FBB" w14:paraId="142EE545" w14:textId="77777777">
        <w:trPr>
          <w:trHeight w:val="340"/>
          <w:jc w:val="center"/>
        </w:trPr>
        <w:tc>
          <w:tcPr>
            <w:tcW w:w="5066" w:type="dxa"/>
            <w:tcBorders>
              <w:top w:val="nil"/>
              <w:left w:val="nil"/>
              <w:bottom w:val="nil"/>
              <w:right w:val="nil"/>
            </w:tcBorders>
            <w:vAlign w:val="center"/>
          </w:tcPr>
          <w:p w14:paraId="089D8C20" w14:textId="77777777" w:rsidR="00CB5FBB" w:rsidRDefault="00000000">
            <w:pPr>
              <w:tabs>
                <w:tab w:val="left" w:pos="499"/>
              </w:tabs>
              <w:spacing w:line="240" w:lineRule="auto"/>
              <w:ind w:firstLineChars="0" w:firstLine="0"/>
              <w:rPr>
                <w:color w:val="000000"/>
                <w:sz w:val="18"/>
                <w:szCs w:val="18"/>
              </w:rPr>
            </w:pPr>
            <w:proofErr w:type="gramStart"/>
            <w:r>
              <w:rPr>
                <w:rFonts w:ascii="宋体" w:hAnsi="宋体"/>
                <w:color w:val="000000"/>
                <w:sz w:val="18"/>
                <w:szCs w:val="18"/>
              </w:rPr>
              <w:t>顺铂</w:t>
            </w:r>
            <w:proofErr w:type="gramEnd"/>
          </w:p>
        </w:tc>
        <w:tc>
          <w:tcPr>
            <w:tcW w:w="3757" w:type="dxa"/>
            <w:tcBorders>
              <w:top w:val="nil"/>
              <w:left w:val="nil"/>
              <w:bottom w:val="nil"/>
              <w:right w:val="nil"/>
            </w:tcBorders>
            <w:vAlign w:val="center"/>
          </w:tcPr>
          <w:p w14:paraId="1F156E23" w14:textId="77777777" w:rsidR="00CB5FBB" w:rsidRDefault="00000000">
            <w:pPr>
              <w:tabs>
                <w:tab w:val="left" w:pos="499"/>
              </w:tabs>
              <w:spacing w:line="240" w:lineRule="auto"/>
              <w:ind w:firstLineChars="0" w:firstLine="0"/>
              <w:rPr>
                <w:color w:val="000000"/>
                <w:sz w:val="18"/>
                <w:szCs w:val="18"/>
              </w:rPr>
            </w:pPr>
            <w:r>
              <w:rPr>
                <w:rFonts w:ascii="宋体" w:hAnsi="宋体"/>
                <w:color w:val="000000"/>
                <w:sz w:val="18"/>
                <w:szCs w:val="18"/>
              </w:rPr>
              <w:t>北京索莱宝科技有限公司</w:t>
            </w:r>
          </w:p>
        </w:tc>
      </w:tr>
      <w:tr w:rsidR="00CB5FBB" w14:paraId="0C40D4A7" w14:textId="77777777">
        <w:trPr>
          <w:trHeight w:val="340"/>
          <w:jc w:val="center"/>
        </w:trPr>
        <w:tc>
          <w:tcPr>
            <w:tcW w:w="5066" w:type="dxa"/>
            <w:tcBorders>
              <w:top w:val="nil"/>
              <w:left w:val="nil"/>
              <w:bottom w:val="single" w:sz="12" w:space="0" w:color="auto"/>
              <w:right w:val="nil"/>
            </w:tcBorders>
            <w:vAlign w:val="center"/>
          </w:tcPr>
          <w:p w14:paraId="661E5684" w14:textId="77777777" w:rsidR="00CB5FBB" w:rsidRDefault="00000000">
            <w:pPr>
              <w:tabs>
                <w:tab w:val="left" w:pos="499"/>
              </w:tabs>
              <w:spacing w:line="240" w:lineRule="auto"/>
              <w:ind w:firstLineChars="0" w:firstLine="0"/>
              <w:rPr>
                <w:color w:val="000000"/>
                <w:sz w:val="18"/>
                <w:szCs w:val="18"/>
              </w:rPr>
            </w:pPr>
            <w:r>
              <w:rPr>
                <w:color w:val="000000"/>
                <w:sz w:val="18"/>
                <w:szCs w:val="18"/>
              </w:rPr>
              <w:t>LYC</w:t>
            </w:r>
            <w:r>
              <w:rPr>
                <w:rFonts w:ascii="宋体" w:hAnsi="宋体"/>
                <w:color w:val="000000"/>
                <w:sz w:val="18"/>
                <w:szCs w:val="18"/>
              </w:rPr>
              <w:t>（</w:t>
            </w:r>
            <w:r>
              <w:rPr>
                <w:color w:val="000000"/>
                <w:sz w:val="18"/>
                <w:szCs w:val="18"/>
              </w:rPr>
              <w:t>≥98%</w:t>
            </w:r>
            <w:r>
              <w:rPr>
                <w:rFonts w:ascii="宋体" w:hAnsi="宋体"/>
                <w:color w:val="000000"/>
                <w:sz w:val="18"/>
                <w:szCs w:val="18"/>
              </w:rPr>
              <w:t>，用于细胞试验）</w:t>
            </w:r>
          </w:p>
        </w:tc>
        <w:tc>
          <w:tcPr>
            <w:tcW w:w="3757" w:type="dxa"/>
            <w:tcBorders>
              <w:top w:val="nil"/>
              <w:left w:val="nil"/>
              <w:bottom w:val="single" w:sz="12" w:space="0" w:color="auto"/>
              <w:right w:val="nil"/>
            </w:tcBorders>
            <w:vAlign w:val="center"/>
          </w:tcPr>
          <w:p w14:paraId="34E9E69D" w14:textId="77777777" w:rsidR="00CB5FBB" w:rsidRDefault="00000000">
            <w:pPr>
              <w:tabs>
                <w:tab w:val="left" w:pos="499"/>
              </w:tabs>
              <w:spacing w:line="240" w:lineRule="auto"/>
              <w:ind w:firstLineChars="0" w:firstLine="0"/>
              <w:rPr>
                <w:color w:val="000000"/>
                <w:sz w:val="18"/>
                <w:szCs w:val="18"/>
              </w:rPr>
            </w:pPr>
            <w:r>
              <w:rPr>
                <w:rFonts w:ascii="宋体" w:hAnsi="宋体"/>
                <w:color w:val="000000"/>
                <w:sz w:val="18"/>
                <w:szCs w:val="18"/>
              </w:rPr>
              <w:t>美国</w:t>
            </w:r>
            <w:r>
              <w:rPr>
                <w:rFonts w:hint="eastAsia"/>
                <w:color w:val="000000"/>
                <w:sz w:val="18"/>
                <w:szCs w:val="18"/>
              </w:rPr>
              <w:t>Merke</w:t>
            </w:r>
            <w:r>
              <w:rPr>
                <w:rFonts w:ascii="宋体" w:hAnsi="宋体"/>
                <w:color w:val="000000"/>
                <w:sz w:val="18"/>
                <w:szCs w:val="18"/>
              </w:rPr>
              <w:t>公司</w:t>
            </w:r>
          </w:p>
        </w:tc>
      </w:tr>
    </w:tbl>
    <w:p w14:paraId="2E2AC650" w14:textId="77777777" w:rsidR="00CB5FBB" w:rsidRDefault="00000000">
      <w:pPr>
        <w:pStyle w:val="aff2"/>
      </w:pPr>
      <w:bookmarkStart w:id="12" w:name="_Toc232419409"/>
      <w:r>
        <w:rPr>
          <w:rFonts w:hint="eastAsia"/>
        </w:rPr>
        <w:lastRenderedPageBreak/>
        <w:t xml:space="preserve">2.3 </w:t>
      </w:r>
      <w:r>
        <w:t>纳米番茄红素制备与</w:t>
      </w:r>
      <w:r>
        <w:rPr>
          <w:rFonts w:hint="eastAsia"/>
        </w:rPr>
        <w:t>应用</w:t>
      </w:r>
      <w:bookmarkEnd w:id="12"/>
    </w:p>
    <w:p w14:paraId="3A06B504" w14:textId="77777777" w:rsidR="00CB5FBB" w:rsidRDefault="00000000">
      <w:pPr>
        <w:pStyle w:val="aff2"/>
      </w:pPr>
      <w:bookmarkStart w:id="13" w:name="_Toc232419410"/>
      <w:r>
        <w:rPr>
          <w:rFonts w:hint="eastAsia"/>
        </w:rPr>
        <w:t xml:space="preserve">2.3.1 </w:t>
      </w:r>
      <w:proofErr w:type="spellStart"/>
      <w:r>
        <w:rPr>
          <w:rFonts w:hint="eastAsia"/>
        </w:rPr>
        <w:t>nLYC</w:t>
      </w:r>
      <w:proofErr w:type="spellEnd"/>
      <w:r>
        <w:rPr>
          <w:rFonts w:hint="eastAsia"/>
        </w:rPr>
        <w:t>的制备</w:t>
      </w:r>
      <w:bookmarkEnd w:id="13"/>
    </w:p>
    <w:p w14:paraId="2E5B3F02" w14:textId="77777777" w:rsidR="00CB5FBB" w:rsidRDefault="00000000">
      <w:pPr>
        <w:ind w:firstLine="420"/>
      </w:pPr>
      <w:proofErr w:type="spellStart"/>
      <w:r>
        <w:t>nLYC</w:t>
      </w:r>
      <w:proofErr w:type="spellEnd"/>
      <w:r>
        <w:t>的制备在叔丁醇</w:t>
      </w:r>
      <w:r>
        <w:t>/</w:t>
      </w:r>
      <w:r>
        <w:t>甘油</w:t>
      </w:r>
      <w:r>
        <w:t>/</w:t>
      </w:r>
      <w:r>
        <w:t>水</w:t>
      </w:r>
      <w:r>
        <w:t>/PVP</w:t>
      </w:r>
      <w:r>
        <w:t>体系中制备，按照罗等人的方法并稍作修改</w:t>
      </w:r>
      <w:r>
        <w:rPr>
          <w:vertAlign w:val="superscript"/>
        </w:rPr>
        <w:t>[</w:t>
      </w:r>
      <w:hyperlink r:id="rId16" w:anchor="_ENREF_213" w:tooltip="Lo, 2014 #3" w:history="1">
        <w:r w:rsidR="00CB5FBB">
          <w:rPr>
            <w:rStyle w:val="ae"/>
            <w:vertAlign w:val="superscript"/>
          </w:rPr>
          <w:t>213</w:t>
        </w:r>
      </w:hyperlink>
      <w:r>
        <w:rPr>
          <w:vertAlign w:val="superscript"/>
        </w:rPr>
        <w:t xml:space="preserve">, </w:t>
      </w:r>
      <w:hyperlink r:id="rId17" w:anchor="_ENREF_214" w:tooltip="Xiao, 2020 #6" w:history="1">
        <w:r w:rsidR="00CB5FBB">
          <w:rPr>
            <w:rStyle w:val="ae"/>
            <w:vertAlign w:val="superscript"/>
          </w:rPr>
          <w:t>214</w:t>
        </w:r>
      </w:hyperlink>
      <w:r>
        <w:rPr>
          <w:vertAlign w:val="superscript"/>
        </w:rPr>
        <w:t>]</w:t>
      </w:r>
      <w:r>
        <w:t>。首先，将</w:t>
      </w:r>
      <w:r>
        <w:t>371.25 mg</w:t>
      </w:r>
      <w:r>
        <w:t>硝酸</w:t>
      </w:r>
      <w:proofErr w:type="gramStart"/>
      <w:r>
        <w:t>锌</w:t>
      </w:r>
      <w:proofErr w:type="gramEnd"/>
      <w:r>
        <w:t>添加到含有</w:t>
      </w:r>
      <w:r>
        <w:t>50%</w:t>
      </w:r>
      <w:r>
        <w:t>叔丁醇的水溶液中作为溶液</w:t>
      </w:r>
      <w:r>
        <w:t>A</w:t>
      </w:r>
      <w:r>
        <w:t>，即触发溶剂。将</w:t>
      </w:r>
      <w:r>
        <w:t>10 mg</w:t>
      </w:r>
      <w:r>
        <w:t>的</w:t>
      </w:r>
      <w:r>
        <w:t>LYC</w:t>
      </w:r>
      <w:r>
        <w:t>，</w:t>
      </w:r>
      <w:r>
        <w:t xml:space="preserve">480.0 mg </w:t>
      </w:r>
      <w:r>
        <w:t>咪唑</w:t>
      </w:r>
      <w:r>
        <w:t>-2-</w:t>
      </w:r>
      <w:r>
        <w:t>甲醛（</w:t>
      </w:r>
      <w:r>
        <w:t>ICA</w:t>
      </w:r>
      <w:r>
        <w:t>）和</w:t>
      </w:r>
      <w:r>
        <w:t>50.0 mg</w:t>
      </w:r>
      <w:r>
        <w:t>聚乙烯吡咯烷酮（</w:t>
      </w:r>
      <w:r>
        <w:t>PVP</w:t>
      </w:r>
      <w:r>
        <w:t>）加入到含有</w:t>
      </w:r>
      <w:r>
        <w:t>50%</w:t>
      </w:r>
      <w:r>
        <w:t>甘油的水溶液中作为溶液</w:t>
      </w:r>
      <w:r>
        <w:t>B</w:t>
      </w:r>
      <w:r>
        <w:t>，提前在磁力搅拌器中预混</w:t>
      </w:r>
      <w:r>
        <w:t>10 min</w:t>
      </w:r>
      <w:r>
        <w:t>。然后，在搅拌下的条件下将溶液</w:t>
      </w:r>
      <w:r>
        <w:t>A</w:t>
      </w:r>
      <w:r>
        <w:t>按照一定</w:t>
      </w:r>
      <w:proofErr w:type="gramStart"/>
      <w:r>
        <w:t>滴速滴加到</w:t>
      </w:r>
      <w:proofErr w:type="gramEnd"/>
      <w:r>
        <w:t>溶液</w:t>
      </w:r>
      <w:r>
        <w:t>B</w:t>
      </w:r>
      <w:r>
        <w:t>中。随后，</w:t>
      </w:r>
      <w:r>
        <w:t>AB</w:t>
      </w:r>
      <w:r>
        <w:t>的混合物以</w:t>
      </w:r>
      <w:r>
        <w:t>1500 g</w:t>
      </w:r>
      <w:r>
        <w:t>的速度搅拌</w:t>
      </w:r>
      <w:r>
        <w:t>0.5 min</w:t>
      </w:r>
      <w:r>
        <w:t>，随着反应，体系中会出现淡黄色，代表制备开始。所有反应均在室温环境下进行。最后，将反应溶液离心（</w:t>
      </w:r>
      <w:r>
        <w:t>14000 g</w:t>
      </w:r>
      <w:r>
        <w:t>，</w:t>
      </w:r>
      <w:r>
        <w:t>30 min×3</w:t>
      </w:r>
      <w:r>
        <w:t>）得到</w:t>
      </w:r>
      <w:proofErr w:type="spellStart"/>
      <w:r>
        <w:t>ntLYC</w:t>
      </w:r>
      <w:proofErr w:type="spellEnd"/>
      <w:r>
        <w:t>纳米颗粒，每次离心的沉淀需过量甲醇洗涤。然后在</w:t>
      </w:r>
      <w:r>
        <w:t>-55°C</w:t>
      </w:r>
      <w:r>
        <w:t>真空干燥</w:t>
      </w:r>
      <w:r>
        <w:t>12h</w:t>
      </w:r>
      <w:r>
        <w:t>。冻</w:t>
      </w:r>
      <w:proofErr w:type="gramStart"/>
      <w:r>
        <w:t>干过程</w:t>
      </w:r>
      <w:proofErr w:type="gramEnd"/>
      <w:r>
        <w:t>中可选用</w:t>
      </w:r>
      <w:r>
        <w:t>D-</w:t>
      </w:r>
      <w:r>
        <w:t>（</w:t>
      </w:r>
      <w:r>
        <w:t>+</w:t>
      </w:r>
      <w:r>
        <w:t>）</w:t>
      </w:r>
      <w:r>
        <w:t>-</w:t>
      </w:r>
      <w:r>
        <w:t>海藻糖二水合物作冷冻干燥保护剂以防止纳米颗粒的聚集。</w:t>
      </w:r>
    </w:p>
    <w:p w14:paraId="7D8D006C" w14:textId="77777777" w:rsidR="00CB5FBB" w:rsidRDefault="00000000">
      <w:pPr>
        <w:pStyle w:val="aff2"/>
      </w:pPr>
      <w:bookmarkStart w:id="14" w:name="_Toc232419411"/>
      <w:r>
        <w:rPr>
          <w:rFonts w:hint="eastAsia"/>
        </w:rPr>
        <w:t xml:space="preserve">2.3.2 </w:t>
      </w:r>
      <w:r>
        <w:t>试验动物分组与处理</w:t>
      </w:r>
      <w:bookmarkEnd w:id="14"/>
    </w:p>
    <w:p w14:paraId="25562121" w14:textId="77777777" w:rsidR="00CB5FBB" w:rsidRDefault="00000000">
      <w:pPr>
        <w:ind w:firstLine="420"/>
      </w:pPr>
      <w:r>
        <w:t>在整个实验过程中，小鼠被饲养在东北农业大学动物饲养中心。实验室严格遵守国家实验小鼠饲养标准，确保小鼠的生活环境良好。环境在</w:t>
      </w:r>
      <w:r>
        <w:t>25℃</w:t>
      </w:r>
      <w:r>
        <w:t>之间，采用照明</w:t>
      </w:r>
      <w:r>
        <w:t>/</w:t>
      </w:r>
      <w:r>
        <w:t>黑暗各半的光照循环模式，稳定湿度在</w:t>
      </w:r>
      <w:r>
        <w:t>45-55%</w:t>
      </w:r>
      <w:r>
        <w:t>之间。每隔</w:t>
      </w:r>
      <w:r>
        <w:t>3</w:t>
      </w:r>
      <w:r>
        <w:t>天更换一次垫料，以保证小鼠的卫生和健康。体内实验部分以</w:t>
      </w:r>
      <w:r>
        <w:t>28</w:t>
      </w:r>
      <w:r>
        <w:t>日龄的雄性</w:t>
      </w:r>
      <w:r>
        <w:t>ICR</w:t>
      </w:r>
      <w:r>
        <w:t>小鼠为受试对象，</w:t>
      </w:r>
      <w:r>
        <w:t>200</w:t>
      </w:r>
      <w:r>
        <w:t>只随机分成</w:t>
      </w:r>
      <w:r>
        <w:t>2</w:t>
      </w:r>
      <w:r>
        <w:t>个模型，分别为</w:t>
      </w:r>
      <w:r>
        <w:t>Cis</w:t>
      </w:r>
      <w:r>
        <w:t>模型和</w:t>
      </w:r>
      <w:r>
        <w:t>LPS</w:t>
      </w:r>
      <w:r>
        <w:t>模型。</w:t>
      </w:r>
      <w:r>
        <w:rPr>
          <w:rFonts w:hint="eastAsia"/>
        </w:rPr>
        <w:t>其中，</w:t>
      </w:r>
      <w:r>
        <w:rPr>
          <w:rFonts w:hint="eastAsia"/>
        </w:rPr>
        <w:t>Cis</w:t>
      </w:r>
      <w:r>
        <w:rPr>
          <w:rFonts w:hint="eastAsia"/>
        </w:rPr>
        <w:t>模型，分别为空白对照组（</w:t>
      </w:r>
      <w:r>
        <w:rPr>
          <w:rFonts w:hint="eastAsia"/>
        </w:rPr>
        <w:t>Con</w:t>
      </w:r>
      <w:r>
        <w:rPr>
          <w:rFonts w:hint="eastAsia"/>
        </w:rPr>
        <w:t>）、</w:t>
      </w:r>
      <w:r>
        <w:rPr>
          <w:rFonts w:hint="eastAsia"/>
        </w:rPr>
        <w:t>Cis</w:t>
      </w:r>
      <w:r>
        <w:rPr>
          <w:rFonts w:hint="eastAsia"/>
        </w:rPr>
        <w:t>组（剂量为</w:t>
      </w:r>
      <w:r>
        <w:rPr>
          <w:rFonts w:hint="eastAsia"/>
        </w:rPr>
        <w:t>5 mg/kg/d</w:t>
      </w:r>
      <w:r>
        <w:rPr>
          <w:rFonts w:hint="eastAsia"/>
        </w:rPr>
        <w:t>的</w:t>
      </w:r>
      <w:r>
        <w:rPr>
          <w:rFonts w:hint="eastAsia"/>
        </w:rPr>
        <w:t>Cis</w:t>
      </w:r>
      <w:r>
        <w:rPr>
          <w:rFonts w:hint="eastAsia"/>
        </w:rPr>
        <w:t>腹腔注射）、</w:t>
      </w:r>
      <w:proofErr w:type="spellStart"/>
      <w:r>
        <w:rPr>
          <w:rFonts w:hint="eastAsia"/>
        </w:rPr>
        <w:t>Cis+LYC</w:t>
      </w:r>
      <w:proofErr w:type="spellEnd"/>
      <w:r>
        <w:rPr>
          <w:rFonts w:hint="eastAsia"/>
        </w:rPr>
        <w:t>组（剂量为</w:t>
      </w:r>
      <w:r>
        <w:rPr>
          <w:rFonts w:hint="eastAsia"/>
        </w:rPr>
        <w:t>5 mg/kg/d</w:t>
      </w:r>
      <w:r>
        <w:rPr>
          <w:rFonts w:hint="eastAsia"/>
        </w:rPr>
        <w:t>的</w:t>
      </w:r>
      <w:r>
        <w:rPr>
          <w:rFonts w:hint="eastAsia"/>
        </w:rPr>
        <w:t>LYC</w:t>
      </w:r>
      <w:r>
        <w:rPr>
          <w:rFonts w:hint="eastAsia"/>
        </w:rPr>
        <w:t>灌胃处理，剂量为</w:t>
      </w:r>
      <w:r>
        <w:rPr>
          <w:rFonts w:hint="eastAsia"/>
        </w:rPr>
        <w:t>5 mg/kg/d</w:t>
      </w:r>
      <w:r>
        <w:rPr>
          <w:rFonts w:hint="eastAsia"/>
        </w:rPr>
        <w:t>的</w:t>
      </w:r>
      <w:r>
        <w:rPr>
          <w:rFonts w:hint="eastAsia"/>
        </w:rPr>
        <w:t>Cis</w:t>
      </w:r>
      <w:r>
        <w:rPr>
          <w:rFonts w:hint="eastAsia"/>
        </w:rPr>
        <w:t>腹腔注射）和</w:t>
      </w:r>
      <w:proofErr w:type="spellStart"/>
      <w:r>
        <w:rPr>
          <w:rFonts w:hint="eastAsia"/>
        </w:rPr>
        <w:t>Cis+nLYC</w:t>
      </w:r>
      <w:proofErr w:type="spellEnd"/>
      <w:r>
        <w:rPr>
          <w:rFonts w:hint="eastAsia"/>
        </w:rPr>
        <w:t>组（剂量为</w:t>
      </w:r>
      <w:r>
        <w:rPr>
          <w:rFonts w:hint="eastAsia"/>
        </w:rPr>
        <w:t>1 mg/kg/d</w:t>
      </w:r>
      <w:r>
        <w:rPr>
          <w:rFonts w:hint="eastAsia"/>
        </w:rPr>
        <w:t>的</w:t>
      </w:r>
      <w:proofErr w:type="spellStart"/>
      <w:r>
        <w:rPr>
          <w:rFonts w:hint="eastAsia"/>
        </w:rPr>
        <w:t>nLYC</w:t>
      </w:r>
      <w:proofErr w:type="spellEnd"/>
      <w:r>
        <w:rPr>
          <w:rFonts w:hint="eastAsia"/>
        </w:rPr>
        <w:t>尾静脉注射，剂量为</w:t>
      </w:r>
      <w:r>
        <w:rPr>
          <w:rFonts w:hint="eastAsia"/>
        </w:rPr>
        <w:t>5 mg/kg Cis</w:t>
      </w:r>
      <w:r>
        <w:rPr>
          <w:rFonts w:hint="eastAsia"/>
        </w:rPr>
        <w:t>腹腔注射），</w:t>
      </w:r>
      <w:r>
        <w:rPr>
          <w:rFonts w:hint="eastAsia"/>
        </w:rPr>
        <w:t>Cis</w:t>
      </w:r>
      <w:r>
        <w:rPr>
          <w:rFonts w:hint="eastAsia"/>
        </w:rPr>
        <w:t>连续腹腔注射</w:t>
      </w:r>
      <w:r>
        <w:rPr>
          <w:rFonts w:hint="eastAsia"/>
        </w:rPr>
        <w:t>5</w:t>
      </w:r>
      <w:r>
        <w:rPr>
          <w:rFonts w:hint="eastAsia"/>
        </w:rPr>
        <w:t>天，</w:t>
      </w:r>
      <w:proofErr w:type="spellStart"/>
      <w:r>
        <w:rPr>
          <w:rFonts w:hint="eastAsia"/>
        </w:rPr>
        <w:t>nLYC</w:t>
      </w:r>
      <w:proofErr w:type="spellEnd"/>
      <w:r>
        <w:rPr>
          <w:rFonts w:hint="eastAsia"/>
        </w:rPr>
        <w:t>连续进行尾静脉注射</w:t>
      </w:r>
      <w:r>
        <w:rPr>
          <w:rFonts w:hint="eastAsia"/>
        </w:rPr>
        <w:t>5</w:t>
      </w:r>
      <w:r>
        <w:rPr>
          <w:rFonts w:hint="eastAsia"/>
        </w:rPr>
        <w:t>天，灌胃给药的</w:t>
      </w:r>
      <w:r>
        <w:rPr>
          <w:rFonts w:hint="eastAsia"/>
        </w:rPr>
        <w:t>LYC</w:t>
      </w:r>
      <w:r>
        <w:rPr>
          <w:rFonts w:hint="eastAsia"/>
        </w:rPr>
        <w:t>为</w:t>
      </w:r>
      <w:r>
        <w:rPr>
          <w:rFonts w:hint="eastAsia"/>
        </w:rPr>
        <w:t>LYC</w:t>
      </w:r>
      <w:r>
        <w:rPr>
          <w:rFonts w:hint="eastAsia"/>
        </w:rPr>
        <w:t>与玉米油混合后进行。</w:t>
      </w:r>
      <w:r>
        <w:t>前期研究表明，</w:t>
      </w:r>
      <w:r>
        <w:rPr>
          <w:rFonts w:hint="eastAsia"/>
        </w:rPr>
        <w:t>玉米油</w:t>
      </w:r>
      <w:r>
        <w:t>作为溶媒不影响</w:t>
      </w:r>
      <w:r>
        <w:rPr>
          <w:rFonts w:hint="eastAsia"/>
        </w:rPr>
        <w:t>试验</w:t>
      </w:r>
      <w:r>
        <w:t>的正常</w:t>
      </w:r>
      <w:r>
        <w:rPr>
          <w:rFonts w:hint="eastAsia"/>
        </w:rPr>
        <w:t>结果</w:t>
      </w:r>
      <w:r>
        <w:t>，</w:t>
      </w:r>
      <w:r>
        <w:rPr>
          <w:rFonts w:hint="eastAsia"/>
        </w:rPr>
        <w:t>无</w:t>
      </w:r>
      <w:r>
        <w:t>副作用。</w:t>
      </w:r>
    </w:p>
    <w:p w14:paraId="7441A60F" w14:textId="77777777" w:rsidR="00CB5FBB" w:rsidRDefault="00000000">
      <w:pPr>
        <w:pStyle w:val="aff2"/>
      </w:pPr>
      <w:bookmarkStart w:id="15" w:name="_Toc232419412"/>
      <w:r>
        <w:rPr>
          <w:rFonts w:hint="eastAsia"/>
        </w:rPr>
        <w:t xml:space="preserve">2.3.3 </w:t>
      </w:r>
      <w:proofErr w:type="spellStart"/>
      <w:r>
        <w:t>nLYC</w:t>
      </w:r>
      <w:proofErr w:type="spellEnd"/>
      <w:r>
        <w:t>对</w:t>
      </w:r>
      <w:r>
        <w:t>t-BOOH</w:t>
      </w:r>
      <w:r>
        <w:t>处理</w:t>
      </w:r>
      <w:r>
        <w:t>TM4</w:t>
      </w:r>
      <w:r>
        <w:t>细胞活力的影响</w:t>
      </w:r>
      <w:bookmarkEnd w:id="15"/>
    </w:p>
    <w:p w14:paraId="158C7AB3" w14:textId="77777777" w:rsidR="00CB5FBB" w:rsidRDefault="00000000">
      <w:pPr>
        <w:ind w:firstLine="420"/>
      </w:pPr>
      <w:r>
        <w:t>在</w:t>
      </w:r>
      <w:r>
        <w:t>96</w:t>
      </w:r>
      <w:r>
        <w:t>孔细胞板中接种</w:t>
      </w:r>
      <w:r>
        <w:t>1×10</w:t>
      </w:r>
      <w:r>
        <w:rPr>
          <w:vertAlign w:val="superscript"/>
        </w:rPr>
        <w:t>5</w:t>
      </w:r>
      <w:r>
        <w:t>密度的</w:t>
      </w:r>
      <w:r>
        <w:t>TM4</w:t>
      </w:r>
      <w:r>
        <w:t>细胞，培养</w:t>
      </w:r>
      <w:r>
        <w:t>24h</w:t>
      </w:r>
      <w:r>
        <w:t>。在细胞培养基中添加</w:t>
      </w:r>
      <w:r>
        <w:t>20</w:t>
      </w:r>
      <w:r>
        <w:rPr>
          <w:rFonts w:hint="eastAsia"/>
        </w:rPr>
        <w:t xml:space="preserve"> </w:t>
      </w:r>
      <w:proofErr w:type="spellStart"/>
      <w:r>
        <w:t>μM</w:t>
      </w:r>
      <w:proofErr w:type="spellEnd"/>
      <w:r>
        <w:t>的</w:t>
      </w:r>
      <w:r>
        <w:t>t-BOOH</w:t>
      </w:r>
      <w:r>
        <w:t>新细胞培养液，培养</w:t>
      </w:r>
      <w:r>
        <w:t>24h</w:t>
      </w:r>
      <w:r>
        <w:t>，经过</w:t>
      </w:r>
      <w:r>
        <w:t>PBS</w:t>
      </w:r>
      <w:r>
        <w:t>清洗，弃培养液后加入</w:t>
      </w:r>
      <w:r>
        <w:t xml:space="preserve">4 </w:t>
      </w:r>
      <w:proofErr w:type="spellStart"/>
      <w:r>
        <w:t>μg</w:t>
      </w:r>
      <w:proofErr w:type="spellEnd"/>
      <w:r>
        <w:t>/mL</w:t>
      </w:r>
      <w:r>
        <w:t>终浓度的</w:t>
      </w:r>
      <w:proofErr w:type="spellStart"/>
      <w:r>
        <w:t>nLYC</w:t>
      </w:r>
      <w:proofErr w:type="spellEnd"/>
      <w:r>
        <w:t>培养液，继续培养</w:t>
      </w:r>
      <w:r>
        <w:t>24h</w:t>
      </w:r>
      <w:r>
        <w:t>。培养完毕后，在每个孔中加入</w:t>
      </w:r>
      <w:r>
        <w:t xml:space="preserve">10 </w:t>
      </w:r>
      <w:proofErr w:type="spellStart"/>
      <w:r>
        <w:t>μL</w:t>
      </w:r>
      <w:proofErr w:type="spellEnd"/>
      <w:r>
        <w:t xml:space="preserve"> CCK-8</w:t>
      </w:r>
      <w:r>
        <w:t>溶液并在</w:t>
      </w:r>
      <w:r>
        <w:t>37℃</w:t>
      </w:r>
      <w:r>
        <w:t>，</w:t>
      </w:r>
      <w:r>
        <w:t>5</w:t>
      </w:r>
      <w:r>
        <w:t>％</w:t>
      </w:r>
      <w:r>
        <w:t>CO</w:t>
      </w:r>
      <w:r>
        <w:rPr>
          <w:vertAlign w:val="subscript"/>
        </w:rPr>
        <w:t>2</w:t>
      </w:r>
      <w:r>
        <w:t>细胞培养箱中孵育。</w:t>
      </w:r>
      <w:r>
        <w:t>30 min</w:t>
      </w:r>
      <w:r>
        <w:t>孵育结束后，在</w:t>
      </w:r>
      <w:r>
        <w:t>450 nm</w:t>
      </w:r>
      <w:r>
        <w:t>处使用自动酶标仪测定每个样品的光密度。细胞活力表示为对照的百分比。每组设</w:t>
      </w:r>
      <w:r>
        <w:t>6</w:t>
      </w:r>
      <w:r>
        <w:t>个复孔，实验重复</w:t>
      </w:r>
      <w:r>
        <w:t>3</w:t>
      </w:r>
      <w:r>
        <w:t>次。</w:t>
      </w:r>
    </w:p>
    <w:p w14:paraId="494BD235" w14:textId="77777777" w:rsidR="00CB5FBB" w:rsidRDefault="00CB5FBB">
      <w:pPr>
        <w:ind w:firstLine="420"/>
      </w:pPr>
    </w:p>
    <w:permEnd w:id="969177033"/>
    <w:p w14:paraId="7CCC2965" w14:textId="77777777" w:rsidR="00CB5FBB" w:rsidRDefault="00CB5FBB">
      <w:pPr>
        <w:ind w:firstLine="420"/>
        <w:sectPr w:rsidR="00CB5FBB">
          <w:pgSz w:w="11906" w:h="16838"/>
          <w:pgMar w:top="1440" w:right="1800" w:bottom="1440" w:left="1800" w:header="425" w:footer="992" w:gutter="0"/>
          <w:cols w:space="425"/>
          <w:docGrid w:type="lines" w:linePitch="312"/>
        </w:sectPr>
      </w:pPr>
    </w:p>
    <w:p w14:paraId="3F5D0858" w14:textId="77777777" w:rsidR="00CB5FBB" w:rsidRDefault="00000000">
      <w:pPr>
        <w:pStyle w:val="af6"/>
      </w:pPr>
      <w:bookmarkStart w:id="16" w:name="_Toc232419413"/>
      <w:r>
        <w:rPr>
          <w:rFonts w:hint="eastAsia"/>
        </w:rPr>
        <w:lastRenderedPageBreak/>
        <w:t xml:space="preserve">3 </w:t>
      </w:r>
      <w:r>
        <w:t>结</w:t>
      </w:r>
      <w:r>
        <w:rPr>
          <w:rFonts w:hint="eastAsia"/>
        </w:rPr>
        <w:t xml:space="preserve"> </w:t>
      </w:r>
      <w:r>
        <w:t>果</w:t>
      </w:r>
      <w:bookmarkEnd w:id="16"/>
    </w:p>
    <w:p w14:paraId="6F15ED29" w14:textId="77777777" w:rsidR="00CB5FBB" w:rsidRDefault="00000000">
      <w:pPr>
        <w:pStyle w:val="afe"/>
      </w:pPr>
      <w:r>
        <w:rPr>
          <w:rFonts w:hint="eastAsia"/>
        </w:rPr>
        <w:t>[</w:t>
      </w:r>
      <w:r>
        <w:rPr>
          <w:rFonts w:hint="eastAsia"/>
        </w:rPr>
        <w:t>结果部分是对于实验每一项检测结果的展示与陈述部分，要求仅描述组别之间的比较，严肃表达趋势变化，阶段性的写一到两句话的结论，不加入讨论、分析与主观评价，不要扩展或者天马行空地总结出严重超出结果之外的推论，科技论文为陈述句，不是推理悬疑。图表需规范清晰，数据标注完整，计量单位统一</w:t>
      </w:r>
    </w:p>
    <w:p w14:paraId="37382BE4" w14:textId="77777777" w:rsidR="00CB5FBB" w:rsidRDefault="00000000">
      <w:pPr>
        <w:pStyle w:val="afe"/>
      </w:pPr>
      <w:r>
        <w:rPr>
          <w:rFonts w:hint="eastAsia"/>
        </w:rPr>
        <w:t>需如实展示全部关键结果，包括阳性与阴性结果；不得随意取舍或篡改数据；结果描述应逻辑连贯，按实验顺序逐层呈现，与材料方法相对应；统计学分析结果需明确标注，确保数据真实可靠、可重复验证；结果要提及差异显著性，即与对照组相比，</w:t>
      </w:r>
      <w:r>
        <w:rPr>
          <w:rFonts w:hint="eastAsia"/>
        </w:rPr>
        <w:t>DEHP</w:t>
      </w:r>
      <w:r>
        <w:rPr>
          <w:rFonts w:hint="eastAsia"/>
        </w:rPr>
        <w:t>组海马区损伤面积显著增加（</w:t>
      </w:r>
      <w:r>
        <w:rPr>
          <w:rFonts w:hint="eastAsia"/>
        </w:rPr>
        <w:t>p&lt;0.01</w:t>
      </w:r>
      <w:r>
        <w:rPr>
          <w:rFonts w:hint="eastAsia"/>
        </w:rPr>
        <w:t>）；</w:t>
      </w:r>
      <w:r>
        <w:t>要明确指出当下结果</w:t>
      </w:r>
      <w:r>
        <w:rPr>
          <w:rFonts w:hint="eastAsia"/>
        </w:rPr>
        <w:t>对应的图注信息，例：如图</w:t>
      </w:r>
      <w:r>
        <w:rPr>
          <w:rFonts w:hint="eastAsia"/>
        </w:rPr>
        <w:t>3-1</w:t>
      </w:r>
      <w:r>
        <w:t>所示</w:t>
      </w:r>
      <w:r>
        <w:rPr>
          <w:rFonts w:hint="eastAsia"/>
        </w:rPr>
        <w:t>（可灵活变化位置和表达）；涉及多图，要附加</w:t>
      </w:r>
      <w:r>
        <w:rPr>
          <w:rFonts w:hint="eastAsia"/>
        </w:rPr>
        <w:t>note</w:t>
      </w:r>
      <w:r>
        <w:rPr>
          <w:rFonts w:hint="eastAsia"/>
        </w:rPr>
        <w:t>解释</w:t>
      </w:r>
      <w:r>
        <w:rPr>
          <w:rFonts w:hint="eastAsia"/>
        </w:rPr>
        <w:t>ABC</w:t>
      </w:r>
      <w:r>
        <w:rPr>
          <w:rFonts w:hint="eastAsia"/>
        </w:rPr>
        <w:t>分别代表什么结果；全文结果图的尺寸请统一，格式统一为</w:t>
      </w:r>
      <w:r>
        <w:rPr>
          <w:rFonts w:hint="eastAsia"/>
        </w:rPr>
        <w:t>tiff</w:t>
      </w:r>
      <w:r>
        <w:rPr>
          <w:rFonts w:hint="eastAsia"/>
        </w:rPr>
        <w:t>，清晰度≥</w:t>
      </w:r>
      <w:r>
        <w:rPr>
          <w:rFonts w:hint="eastAsia"/>
        </w:rPr>
        <w:t>300dpi</w:t>
      </w:r>
      <w:r>
        <w:rPr>
          <w:rFonts w:hint="eastAsia"/>
        </w:rPr>
        <w:t>。范例如下</w:t>
      </w:r>
      <w:r>
        <w:rPr>
          <w:rFonts w:hint="eastAsia"/>
        </w:rPr>
        <w:t>]</w:t>
      </w:r>
    </w:p>
    <w:p w14:paraId="00F8962F" w14:textId="77777777" w:rsidR="00CB5FBB" w:rsidRDefault="00000000">
      <w:pPr>
        <w:pStyle w:val="aff0"/>
      </w:pPr>
      <w:bookmarkStart w:id="17" w:name="_Toc116756307"/>
      <w:bookmarkStart w:id="18" w:name="_Toc132809363"/>
      <w:bookmarkStart w:id="19" w:name="_Toc232419414"/>
      <w:bookmarkEnd w:id="17"/>
      <w:permStart w:id="1373918605" w:edGrp="everyone"/>
      <w:r>
        <w:rPr>
          <w:rFonts w:hint="eastAsia"/>
        </w:rPr>
        <w:t xml:space="preserve">3.1 </w:t>
      </w:r>
      <w:proofErr w:type="spellStart"/>
      <w:r>
        <w:rPr>
          <w:rFonts w:hint="eastAsia"/>
        </w:rPr>
        <w:t>nLYC</w:t>
      </w:r>
      <w:proofErr w:type="spellEnd"/>
      <w:r>
        <w:rPr>
          <w:rFonts w:hint="eastAsia"/>
        </w:rPr>
        <w:t>材料表征部分</w:t>
      </w:r>
      <w:bookmarkEnd w:id="19"/>
    </w:p>
    <w:p w14:paraId="5BA64012" w14:textId="77777777" w:rsidR="00CB5FBB" w:rsidRDefault="00000000">
      <w:pPr>
        <w:pStyle w:val="aff2"/>
      </w:pPr>
      <w:bookmarkStart w:id="20" w:name="_Toc232419415"/>
      <w:r>
        <w:rPr>
          <w:rFonts w:hint="eastAsia"/>
        </w:rPr>
        <w:t xml:space="preserve">3.1.1 </w:t>
      </w:r>
      <w:r>
        <w:t>FSH</w:t>
      </w:r>
      <w:r>
        <w:t>对</w:t>
      </w:r>
      <w:r>
        <w:t>TM4</w:t>
      </w:r>
      <w:r>
        <w:t>细胞摄取</w:t>
      </w:r>
      <w:proofErr w:type="spellStart"/>
      <w:r>
        <w:t>nLYC</w:t>
      </w:r>
      <w:proofErr w:type="spellEnd"/>
      <w:r>
        <w:t>影响的检测结果</w:t>
      </w:r>
      <w:bookmarkEnd w:id="18"/>
      <w:bookmarkEnd w:id="20"/>
    </w:p>
    <w:p w14:paraId="13F4D8D2" w14:textId="77777777" w:rsidR="00CB5FBB" w:rsidRDefault="00000000">
      <w:pPr>
        <w:ind w:firstLine="420"/>
      </w:pPr>
      <w:r>
        <w:t>FSH</w:t>
      </w:r>
      <w:r>
        <w:t>可以特异性地与</w:t>
      </w:r>
      <w:r>
        <w:rPr>
          <w:rFonts w:hint="eastAsia"/>
        </w:rPr>
        <w:t>TM4</w:t>
      </w:r>
      <w:r>
        <w:rPr>
          <w:rFonts w:hint="eastAsia"/>
        </w:rPr>
        <w:t>表面的</w:t>
      </w:r>
      <w:r>
        <w:t>FSH</w:t>
      </w:r>
      <w:r>
        <w:t>受体结合，</w:t>
      </w:r>
      <w:r>
        <w:rPr>
          <w:rFonts w:hint="eastAsia"/>
        </w:rPr>
        <w:t>并促进</w:t>
      </w:r>
      <w:proofErr w:type="spellStart"/>
      <w:r>
        <w:rPr>
          <w:rFonts w:hint="eastAsia"/>
        </w:rPr>
        <w:t>nLYC</w:t>
      </w:r>
      <w:proofErr w:type="spellEnd"/>
      <w:r>
        <w:t xml:space="preserve"> </w:t>
      </w:r>
      <w:r>
        <w:rPr>
          <w:rFonts w:hint="eastAsia"/>
        </w:rPr>
        <w:t>NPs</w:t>
      </w:r>
      <w:r>
        <w:rPr>
          <w:rFonts w:hint="eastAsia"/>
        </w:rPr>
        <w:t>的顺利摄取。</w:t>
      </w:r>
      <w:r>
        <w:rPr>
          <w:highlight w:val="yellow"/>
        </w:rPr>
        <w:t>如图</w:t>
      </w:r>
      <w:r>
        <w:rPr>
          <w:highlight w:val="yellow"/>
        </w:rPr>
        <w:t xml:space="preserve">3-18 </w:t>
      </w:r>
      <w:r>
        <w:rPr>
          <w:rFonts w:hint="eastAsia"/>
          <w:highlight w:val="yellow"/>
        </w:rPr>
        <w:t>A</w:t>
      </w:r>
      <w:r>
        <w:rPr>
          <w:highlight w:val="yellow"/>
        </w:rPr>
        <w:t>-</w:t>
      </w:r>
      <w:r>
        <w:rPr>
          <w:rFonts w:hint="eastAsia"/>
          <w:highlight w:val="yellow"/>
        </w:rPr>
        <w:t>B</w:t>
      </w:r>
      <w:r>
        <w:t>，对</w:t>
      </w:r>
      <w:proofErr w:type="spellStart"/>
      <w:r>
        <w:rPr>
          <w:rFonts w:hint="eastAsia"/>
        </w:rPr>
        <w:t>ntLYC</w:t>
      </w:r>
      <w:proofErr w:type="spellEnd"/>
      <w:r>
        <w:t xml:space="preserve"> </w:t>
      </w:r>
      <w:r>
        <w:rPr>
          <w:rFonts w:hint="eastAsia"/>
        </w:rPr>
        <w:t>NPs</w:t>
      </w:r>
      <w:r>
        <w:t>组相比，经过修饰的</w:t>
      </w:r>
      <w:r>
        <w:rPr>
          <w:rFonts w:hint="eastAsia"/>
        </w:rPr>
        <w:t>FSH</w:t>
      </w:r>
      <w:r>
        <w:rPr>
          <w:rFonts w:hint="eastAsia"/>
        </w:rPr>
        <w:t>修饰的</w:t>
      </w:r>
      <w:proofErr w:type="spellStart"/>
      <w:r>
        <w:rPr>
          <w:rFonts w:hint="eastAsia"/>
        </w:rPr>
        <w:t>nLYC</w:t>
      </w:r>
      <w:proofErr w:type="spellEnd"/>
      <w:r>
        <w:t xml:space="preserve"> </w:t>
      </w:r>
      <w:r>
        <w:rPr>
          <w:rFonts w:hint="eastAsia"/>
        </w:rPr>
        <w:t>NPs</w:t>
      </w:r>
      <w:r>
        <w:t>进入细胞的效率显著增加</w:t>
      </w:r>
      <w:r>
        <w:rPr>
          <w:highlight w:val="yellow"/>
        </w:rPr>
        <w:t>（</w:t>
      </w:r>
      <w:r>
        <w:rPr>
          <w:rFonts w:hint="eastAsia"/>
          <w:i/>
          <w:highlight w:val="yellow"/>
        </w:rPr>
        <w:t>P</w:t>
      </w:r>
      <w:r>
        <w:rPr>
          <w:i/>
          <w:highlight w:val="yellow"/>
        </w:rPr>
        <w:t xml:space="preserve"> </w:t>
      </w:r>
      <w:r>
        <w:rPr>
          <w:highlight w:val="yellow"/>
        </w:rPr>
        <w:t>&lt; 0.01</w:t>
      </w:r>
      <w:r>
        <w:rPr>
          <w:highlight w:val="yellow"/>
        </w:rPr>
        <w:t>）</w:t>
      </w:r>
      <w:r>
        <w:t>。</w:t>
      </w:r>
    </w:p>
    <w:p w14:paraId="332EACE8" w14:textId="77777777" w:rsidR="00CB5FBB" w:rsidRDefault="00000000">
      <w:pPr>
        <w:ind w:firstLine="420"/>
      </w:pPr>
      <w:r>
        <w:rPr>
          <w:noProof/>
        </w:rPr>
        <w:drawing>
          <wp:inline distT="0" distB="0" distL="0" distR="0" wp14:anchorId="4BD6AEE1" wp14:editId="05FFDA03">
            <wp:extent cx="4714875" cy="1914525"/>
            <wp:effectExtent l="0" t="0" r="9525" b="9525"/>
            <wp:docPr id="31297642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976422" name="图片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714875" cy="1914525"/>
                    </a:xfrm>
                    <a:prstGeom prst="rect">
                      <a:avLst/>
                    </a:prstGeom>
                    <a:noFill/>
                    <a:ln>
                      <a:noFill/>
                    </a:ln>
                  </pic:spPr>
                </pic:pic>
              </a:graphicData>
            </a:graphic>
          </wp:inline>
        </w:drawing>
      </w:r>
    </w:p>
    <w:p w14:paraId="20AC1819" w14:textId="77777777" w:rsidR="00CB5FBB" w:rsidRDefault="00000000">
      <w:pPr>
        <w:pStyle w:val="aff6"/>
      </w:pPr>
      <w:r>
        <w:rPr>
          <w:rFonts w:hint="eastAsia"/>
        </w:rPr>
        <w:t>注：</w:t>
      </w:r>
      <w:r>
        <w:rPr>
          <w:rFonts w:hint="eastAsia"/>
        </w:rPr>
        <w:t>A</w:t>
      </w:r>
      <w:r>
        <w:rPr>
          <w:rFonts w:hint="eastAsia"/>
        </w:rPr>
        <w:t>：</w:t>
      </w:r>
      <w:r>
        <w:t>FSH</w:t>
      </w:r>
      <w:r>
        <w:t>对</w:t>
      </w:r>
      <w:r>
        <w:t>TM4</w:t>
      </w:r>
      <w:r>
        <w:t>细胞摄取</w:t>
      </w:r>
      <w:proofErr w:type="spellStart"/>
      <w:r>
        <w:t>nLYC</w:t>
      </w:r>
      <w:proofErr w:type="spellEnd"/>
      <w:r>
        <w:t xml:space="preserve"> NPs</w:t>
      </w:r>
      <w:r>
        <w:t>的影响</w:t>
      </w:r>
      <w:r>
        <w:rPr>
          <w:rFonts w:hint="eastAsia"/>
        </w:rPr>
        <w:t>；</w:t>
      </w:r>
      <w:r>
        <w:rPr>
          <w:rFonts w:hint="eastAsia"/>
        </w:rPr>
        <w:t>B</w:t>
      </w:r>
      <w:r>
        <w:rPr>
          <w:rFonts w:hint="eastAsia"/>
        </w:rPr>
        <w:t>：量化结果</w:t>
      </w:r>
    </w:p>
    <w:p w14:paraId="05254C6E" w14:textId="77777777" w:rsidR="00CB5FBB" w:rsidRDefault="00000000">
      <w:pPr>
        <w:pStyle w:val="aff6"/>
      </w:pPr>
      <w:r>
        <w:t>图</w:t>
      </w:r>
      <w:r>
        <w:t>3-18 FSH</w:t>
      </w:r>
      <w:r>
        <w:t>对</w:t>
      </w:r>
      <w:r>
        <w:t>TM4</w:t>
      </w:r>
      <w:r>
        <w:t>细胞摄取</w:t>
      </w:r>
      <w:proofErr w:type="spellStart"/>
      <w:r>
        <w:t>nLYC</w:t>
      </w:r>
      <w:proofErr w:type="spellEnd"/>
      <w:r>
        <w:t xml:space="preserve"> NPs</w:t>
      </w:r>
      <w:r>
        <w:t>的影响</w:t>
      </w:r>
    </w:p>
    <w:p w14:paraId="02F1C72B" w14:textId="77777777" w:rsidR="00CB5FBB" w:rsidRDefault="00000000">
      <w:pPr>
        <w:pStyle w:val="aff6"/>
      </w:pPr>
      <w:r>
        <w:t xml:space="preserve">Fig. 3-18 Effect of FSH on TM4 cells uptake </w:t>
      </w:r>
      <w:proofErr w:type="spellStart"/>
      <w:r>
        <w:t>nLYC</w:t>
      </w:r>
      <w:proofErr w:type="spellEnd"/>
      <w:r>
        <w:t xml:space="preserve"> NPs</w:t>
      </w:r>
    </w:p>
    <w:permEnd w:id="1373918605"/>
    <w:p w14:paraId="107280BC" w14:textId="77777777" w:rsidR="00CB5FBB" w:rsidRDefault="00CB5FBB">
      <w:pPr>
        <w:ind w:firstLine="420"/>
      </w:pPr>
    </w:p>
    <w:p w14:paraId="13C1640D" w14:textId="77777777" w:rsidR="00CB5FBB" w:rsidRDefault="00CB5FBB">
      <w:pPr>
        <w:pStyle w:val="af6"/>
        <w:sectPr w:rsidR="00CB5FBB">
          <w:pgSz w:w="11906" w:h="16838"/>
          <w:pgMar w:top="1440" w:right="1800" w:bottom="1440" w:left="1800" w:header="425" w:footer="992" w:gutter="0"/>
          <w:cols w:space="425"/>
          <w:docGrid w:type="lines" w:linePitch="312"/>
        </w:sectPr>
      </w:pPr>
    </w:p>
    <w:p w14:paraId="7D27F03B" w14:textId="77777777" w:rsidR="00CB5FBB" w:rsidRDefault="00000000">
      <w:pPr>
        <w:pStyle w:val="af6"/>
      </w:pPr>
      <w:bookmarkStart w:id="21" w:name="_Toc232419416"/>
      <w:r>
        <w:rPr>
          <w:rFonts w:hint="eastAsia"/>
        </w:rPr>
        <w:lastRenderedPageBreak/>
        <w:t xml:space="preserve">4 </w:t>
      </w:r>
      <w:r>
        <w:t>讨</w:t>
      </w:r>
      <w:r>
        <w:rPr>
          <w:rFonts w:hint="eastAsia"/>
        </w:rPr>
        <w:t xml:space="preserve"> </w:t>
      </w:r>
      <w:r>
        <w:t>论</w:t>
      </w:r>
      <w:bookmarkEnd w:id="21"/>
    </w:p>
    <w:p w14:paraId="0037F967" w14:textId="77777777" w:rsidR="00CB5FBB" w:rsidRDefault="00000000">
      <w:pPr>
        <w:pStyle w:val="afe"/>
      </w:pPr>
      <w:r>
        <w:rPr>
          <w:rFonts w:hint="eastAsia"/>
        </w:rPr>
        <w:t>[</w:t>
      </w:r>
      <w:r>
        <w:rPr>
          <w:rFonts w:hint="eastAsia"/>
        </w:rPr>
        <w:t>讨论是你结果部分的延续与全文逻辑关系的串联总结，整体思路就是按照你写作的逻辑顺序对应结果的一一讨论。比如你研究铁死亡，他的逻辑关系是这样的</w:t>
      </w:r>
      <w:r>
        <w:rPr>
          <w:rFonts w:hint="eastAsia"/>
          <w:b/>
          <w:bCs/>
          <w:color w:val="EE0000"/>
          <w14:textFill>
            <w14:solidFill>
              <w14:srgbClr w14:val="EE0000">
                <w14:lumMod w14:val="75000"/>
                <w14:lumOff w14:val="25000"/>
              </w14:srgbClr>
            </w14:solidFill>
          </w14:textFill>
        </w:rPr>
        <w:t>（</w:t>
      </w:r>
      <w:r>
        <w:rPr>
          <w:b/>
          <w:bCs/>
          <w:color w:val="EE0000"/>
          <w14:textFill>
            <w14:solidFill>
              <w14:srgbClr w14:val="EE0000">
                <w14:lumMod w14:val="75000"/>
                <w14:lumOff w14:val="25000"/>
              </w14:srgbClr>
            </w14:solidFill>
          </w14:textFill>
        </w:rPr>
        <w:t>铁死亡刺激</w:t>
      </w:r>
      <w:r>
        <w:rPr>
          <w:b/>
          <w:bCs/>
          <w:color w:val="EE0000"/>
          <w14:textFill>
            <w14:solidFill>
              <w14:srgbClr w14:val="EE0000">
                <w14:lumMod w14:val="75000"/>
                <w14:lumOff w14:val="25000"/>
              </w14:srgbClr>
            </w14:solidFill>
          </w14:textFill>
        </w:rPr>
        <w:t>→SLC7A11</w:t>
      </w:r>
      <w:r>
        <w:rPr>
          <w:b/>
          <w:bCs/>
          <w:color w:val="EE0000"/>
          <w14:textFill>
            <w14:solidFill>
              <w14:srgbClr w14:val="EE0000">
                <w14:lumMod w14:val="75000"/>
                <w14:lumOff w14:val="25000"/>
              </w14:srgbClr>
            </w14:solidFill>
          </w14:textFill>
        </w:rPr>
        <w:t>下调</w:t>
      </w:r>
      <w:r>
        <w:rPr>
          <w:b/>
          <w:bCs/>
          <w:color w:val="EE0000"/>
          <w14:textFill>
            <w14:solidFill>
              <w14:srgbClr w14:val="EE0000">
                <w14:lumMod w14:val="75000"/>
                <w14:lumOff w14:val="25000"/>
              </w14:srgbClr>
            </w14:solidFill>
          </w14:textFill>
        </w:rPr>
        <w:t>→GSH/GSSG</w:t>
      </w:r>
      <w:r>
        <w:rPr>
          <w:b/>
          <w:bCs/>
          <w:color w:val="EE0000"/>
          <w14:textFill>
            <w14:solidFill>
              <w14:srgbClr w14:val="EE0000">
                <w14:lumMod w14:val="75000"/>
                <w14:lumOff w14:val="25000"/>
              </w14:srgbClr>
            </w14:solidFill>
          </w14:textFill>
        </w:rPr>
        <w:t>失衡</w:t>
      </w:r>
      <w:r>
        <w:rPr>
          <w:b/>
          <w:bCs/>
          <w:color w:val="EE0000"/>
          <w14:textFill>
            <w14:solidFill>
              <w14:srgbClr w14:val="EE0000">
                <w14:lumMod w14:val="75000"/>
                <w14:lumOff w14:val="25000"/>
              </w14:srgbClr>
            </w14:solidFill>
          </w14:textFill>
        </w:rPr>
        <w:t>→GPX4</w:t>
      </w:r>
      <w:r>
        <w:rPr>
          <w:b/>
          <w:bCs/>
          <w:color w:val="EE0000"/>
          <w14:textFill>
            <w14:solidFill>
              <w14:srgbClr w14:val="EE0000">
                <w14:lumMod w14:val="75000"/>
                <w14:lumOff w14:val="25000"/>
              </w14:srgbClr>
            </w14:solidFill>
          </w14:textFill>
        </w:rPr>
        <w:t>活性降低</w:t>
      </w:r>
      <w:r>
        <w:rPr>
          <w:b/>
          <w:bCs/>
          <w:color w:val="EE0000"/>
          <w14:textFill>
            <w14:solidFill>
              <w14:srgbClr w14:val="EE0000">
                <w14:lumMod w14:val="75000"/>
                <w14:lumOff w14:val="25000"/>
              </w14:srgbClr>
            </w14:solidFill>
          </w14:textFill>
        </w:rPr>
        <w:t>→ACSL4</w:t>
      </w:r>
      <w:r>
        <w:rPr>
          <w:b/>
          <w:bCs/>
          <w:color w:val="EE0000"/>
          <w14:textFill>
            <w14:solidFill>
              <w14:srgbClr w14:val="EE0000">
                <w14:lumMod w14:val="75000"/>
                <w14:lumOff w14:val="25000"/>
              </w14:srgbClr>
            </w14:solidFill>
          </w14:textFill>
        </w:rPr>
        <w:t>上调</w:t>
      </w:r>
      <w:r>
        <w:rPr>
          <w:b/>
          <w:bCs/>
          <w:color w:val="EE0000"/>
          <w14:textFill>
            <w14:solidFill>
              <w14:srgbClr w14:val="EE0000">
                <w14:lumMod w14:val="75000"/>
                <w14:lumOff w14:val="25000"/>
              </w14:srgbClr>
            </w14:solidFill>
          </w14:textFill>
        </w:rPr>
        <w:t>→</w:t>
      </w:r>
      <w:r>
        <w:rPr>
          <w:b/>
          <w:bCs/>
          <w:color w:val="EE0000"/>
          <w14:textFill>
            <w14:solidFill>
              <w14:srgbClr w14:val="EE0000">
                <w14:lumMod w14:val="75000"/>
                <w14:lumOff w14:val="25000"/>
              </w14:srgbClr>
            </w14:solidFill>
          </w14:textFill>
        </w:rPr>
        <w:t>脂质过氧化加剧</w:t>
      </w:r>
      <w:r>
        <w:rPr>
          <w:b/>
          <w:bCs/>
          <w:color w:val="EE0000"/>
          <w14:textFill>
            <w14:solidFill>
              <w14:srgbClr w14:val="EE0000">
                <w14:lumMod w14:val="75000"/>
                <w14:lumOff w14:val="25000"/>
              </w14:srgbClr>
            </w14:solidFill>
          </w14:textFill>
        </w:rPr>
        <w:t>→COX2</w:t>
      </w:r>
      <w:r>
        <w:rPr>
          <w:b/>
          <w:bCs/>
          <w:color w:val="EE0000"/>
          <w14:textFill>
            <w14:solidFill>
              <w14:srgbClr w14:val="EE0000">
                <w14:lumMod w14:val="75000"/>
                <w14:lumOff w14:val="25000"/>
              </w14:srgbClr>
            </w14:solidFill>
          </w14:textFill>
        </w:rPr>
        <w:t>激活</w:t>
      </w:r>
      <w:r>
        <w:rPr>
          <w:b/>
          <w:bCs/>
          <w:color w:val="EE0000"/>
          <w14:textFill>
            <w14:solidFill>
              <w14:srgbClr w14:val="EE0000">
                <w14:lumMod w14:val="75000"/>
                <w14:lumOff w14:val="25000"/>
              </w14:srgbClr>
            </w14:solidFill>
          </w14:textFill>
        </w:rPr>
        <w:t>→</w:t>
      </w:r>
      <w:r>
        <w:rPr>
          <w:b/>
          <w:bCs/>
          <w:color w:val="EE0000"/>
          <w14:textFill>
            <w14:solidFill>
              <w14:srgbClr w14:val="EE0000">
                <w14:lumMod w14:val="75000"/>
                <w14:lumOff w14:val="25000"/>
              </w14:srgbClr>
            </w14:solidFill>
          </w14:textFill>
        </w:rPr>
        <w:t>铁死亡发生</w:t>
      </w:r>
      <w:r>
        <w:rPr>
          <w:rFonts w:hint="eastAsia"/>
          <w:b/>
          <w:bCs/>
          <w:color w:val="EE0000"/>
          <w14:textFill>
            <w14:solidFill>
              <w14:srgbClr w14:val="EE0000">
                <w14:lumMod w14:val="75000"/>
                <w14:lumOff w14:val="25000"/>
              </w14:srgbClr>
            </w14:solidFill>
          </w14:textFill>
        </w:rPr>
        <w:t>）</w:t>
      </w:r>
      <w:r>
        <w:rPr>
          <w:rFonts w:hint="eastAsia"/>
        </w:rPr>
        <w:t>，那么这个时候你就要用心了，整个论文中所有的涉及铁死亡的关键蛋白的项管部表述都要从这个逻辑顺序！从目录、前言背景介绍、材料方法到结果的陈述环节都要有逻辑顺序，</w:t>
      </w:r>
      <w:r>
        <w:rPr>
          <w:rFonts w:hint="eastAsia"/>
          <w:b/>
          <w:bCs/>
          <w:color w:val="EE0000"/>
          <w14:textFill>
            <w14:solidFill>
              <w14:srgbClr w14:val="EE0000">
                <w14:lumMod w14:val="75000"/>
                <w14:lumOff w14:val="25000"/>
              </w14:srgbClr>
            </w14:solidFill>
          </w14:textFill>
        </w:rPr>
        <w:t>讨论更是！</w:t>
      </w:r>
      <w:r>
        <w:rPr>
          <w:rFonts w:hint="eastAsia"/>
        </w:rPr>
        <w:t>讨论亦是遵从“总分总”原则，先说铁死亡是什么，再说</w:t>
      </w:r>
      <w:r>
        <w:rPr>
          <w:rFonts w:hint="eastAsia"/>
        </w:rPr>
        <w:t>SLC7A11</w:t>
      </w:r>
      <w:r>
        <w:t>在铁死亡中扮演的关键作用，在引用或者表述其他人类似实验的结果，再说你自己的结果，</w:t>
      </w:r>
      <w:r>
        <w:rPr>
          <w:rFonts w:hint="eastAsia"/>
        </w:rPr>
        <w:t>说明研究结果相似，进一步佐证你的观点或者实验结果（适当把握，自己表达到位即可）。</w:t>
      </w:r>
      <w:r>
        <w:t>最后一句话总结，</w:t>
      </w:r>
      <w:r>
        <w:rPr>
          <w:rFonts w:hint="eastAsia"/>
        </w:rPr>
        <w:t>本实验</w:t>
      </w:r>
      <w:r>
        <w:rPr>
          <w:rFonts w:hint="eastAsia"/>
        </w:rPr>
        <w:t>/</w:t>
      </w:r>
      <w:r>
        <w:t>本研究结果表明，</w:t>
      </w:r>
      <w:r>
        <w:t>DEHP</w:t>
      </w:r>
      <w:r>
        <w:rPr>
          <w:rFonts w:hint="eastAsia"/>
        </w:rPr>
        <w:t>能够显著影响小鼠海马组织</w:t>
      </w:r>
      <w:r>
        <w:rPr>
          <w:rFonts w:hint="eastAsia"/>
        </w:rPr>
        <w:t>GPX4</w:t>
      </w:r>
      <w:r>
        <w:rPr>
          <w:rFonts w:hint="eastAsia"/>
        </w:rPr>
        <w:t>的活性。有时，为了丰富前后文的逻辑转承，我们还可以加上类似表达：“</w:t>
      </w:r>
      <w:r>
        <w:t>为了确定</w:t>
      </w:r>
      <w:r>
        <w:t>nLYC</w:t>
      </w:r>
      <w:r>
        <w:t>在细胞中的释放位置，本研究利用</w:t>
      </w:r>
      <w:r>
        <w:t>CY5.5</w:t>
      </w:r>
      <w:r>
        <w:t>代替</w:t>
      </w:r>
      <w:r>
        <w:t>LYC</w:t>
      </w:r>
      <w:r>
        <w:t>进行示踪研究</w:t>
      </w:r>
      <w:r>
        <w:rPr>
          <w:rFonts w:hint="eastAsia"/>
        </w:rPr>
        <w:t>”。范例如下</w:t>
      </w:r>
      <w:r>
        <w:rPr>
          <w:rFonts w:hint="eastAsia"/>
        </w:rPr>
        <w:t>]</w:t>
      </w:r>
    </w:p>
    <w:p w14:paraId="7E67A288" w14:textId="77777777" w:rsidR="00CB5FBB" w:rsidRDefault="00000000">
      <w:pPr>
        <w:pStyle w:val="aff0"/>
      </w:pPr>
      <w:bookmarkStart w:id="22" w:name="_Toc132809379"/>
      <w:bookmarkStart w:id="23" w:name="_Toc232419417"/>
      <w:bookmarkEnd w:id="22"/>
      <w:permStart w:id="851858204" w:edGrp="everyone"/>
      <w:r>
        <w:rPr>
          <w:rFonts w:hint="eastAsia"/>
        </w:rPr>
        <w:t xml:space="preserve">4.1 </w:t>
      </w:r>
      <w:proofErr w:type="spellStart"/>
      <w:r>
        <w:t>nLYC</w:t>
      </w:r>
      <w:proofErr w:type="spellEnd"/>
      <w:r>
        <w:t>对炎症诱导睾丸结构变化的影响</w:t>
      </w:r>
      <w:bookmarkEnd w:id="23"/>
    </w:p>
    <w:p w14:paraId="68D32B80" w14:textId="77777777" w:rsidR="00CB5FBB" w:rsidRDefault="00000000">
      <w:pPr>
        <w:ind w:firstLine="420"/>
      </w:pPr>
      <w:r>
        <w:t>据</w:t>
      </w:r>
      <w:r>
        <w:t>Rao</w:t>
      </w:r>
      <w:r>
        <w:t>等人的研究发现，将</w:t>
      </w:r>
      <w:r>
        <w:t>9 mg kg</w:t>
      </w:r>
      <w:r>
        <w:rPr>
          <w:vertAlign w:val="superscript"/>
        </w:rPr>
        <w:t>-1</w:t>
      </w:r>
      <w:r>
        <w:t>剂量的</w:t>
      </w:r>
      <w:r>
        <w:t>LPS</w:t>
      </w:r>
      <w:r>
        <w:t>通过腹腔注射方式给予小鼠，处理</w:t>
      </w:r>
      <w:r>
        <w:t>7</w:t>
      </w:r>
      <w:r>
        <w:t>天后小鼠体重和睾丸系数均有显著下降</w:t>
      </w:r>
      <w:r>
        <w:rPr>
          <w:vertAlign w:val="superscript"/>
        </w:rPr>
        <w:t>[</w:t>
      </w:r>
      <w:hyperlink r:id="rId19" w:anchor="_ENREF_225" w:tooltip="Rao, 2016 #902" w:history="1">
        <w:r w:rsidR="00CB5FBB">
          <w:rPr>
            <w:rStyle w:val="ae"/>
            <w:vertAlign w:val="superscript"/>
          </w:rPr>
          <w:t>225</w:t>
        </w:r>
      </w:hyperlink>
      <w:r>
        <w:rPr>
          <w:vertAlign w:val="superscript"/>
        </w:rPr>
        <w:t>]</w:t>
      </w:r>
      <w:r>
        <w:t>。</w:t>
      </w:r>
      <w:r>
        <w:t>Reddy</w:t>
      </w:r>
      <w:r>
        <w:t>等人研究发现</w:t>
      </w:r>
      <w:r>
        <w:t>3 mg kg</w:t>
      </w:r>
      <w:r>
        <w:rPr>
          <w:vertAlign w:val="superscript"/>
        </w:rPr>
        <w:t>-1</w:t>
      </w:r>
      <w:r>
        <w:t>剂量的</w:t>
      </w:r>
      <w:r>
        <w:rPr>
          <w:rFonts w:hint="eastAsia"/>
        </w:rPr>
        <w:t>LPS</w:t>
      </w:r>
      <w:r>
        <w:t>持续腹腔注射三天，可睾丸和附属性器官的重量显着减少。同时伴随着生精小管尺寸减小，精子生成减少和生精上皮结构破坏，生精细胞脱落和间隙过大等现象</w:t>
      </w:r>
      <w:r>
        <w:rPr>
          <w:vertAlign w:val="superscript"/>
        </w:rPr>
        <w:t>[</w:t>
      </w:r>
      <w:hyperlink r:id="rId20" w:anchor="_ENREF_226" w:tooltip="Chen, 2016 #918" w:history="1">
        <w:r w:rsidR="00CB5FBB">
          <w:rPr>
            <w:rStyle w:val="ae"/>
            <w:vertAlign w:val="superscript"/>
          </w:rPr>
          <w:t>226</w:t>
        </w:r>
      </w:hyperlink>
      <w:r>
        <w:rPr>
          <w:vertAlign w:val="superscript"/>
        </w:rPr>
        <w:t>]</w:t>
      </w:r>
      <w:r>
        <w:t>。这些结果均提示</w:t>
      </w:r>
      <w:r>
        <w:t>LPS</w:t>
      </w:r>
      <w:r>
        <w:t>诱导的炎症均对睾丸具有明显的破坏作用。睾丸系数（</w:t>
      </w:r>
      <w:r>
        <w:t>Testicular Size Index</w:t>
      </w:r>
      <w:r>
        <w:t>，</w:t>
      </w:r>
      <w:r>
        <w:t>TSI</w:t>
      </w:r>
      <w:r>
        <w:t>），也称为睾丸指数或睾丸容积指数，是指睾丸重量与受试动物</w:t>
      </w:r>
      <w:proofErr w:type="gramStart"/>
      <w:r>
        <w:t>体重体重</w:t>
      </w:r>
      <w:proofErr w:type="gramEnd"/>
      <w:r>
        <w:t>比值。睾丸重量的变化通常会在一些病理状态下出现，如睾丸炎症等，因此</w:t>
      </w:r>
      <w:r>
        <w:t>TSI</w:t>
      </w:r>
      <w:r>
        <w:t>可以作为评判</w:t>
      </w:r>
      <w:r>
        <w:rPr>
          <w:rFonts w:hint="eastAsia"/>
        </w:rPr>
        <w:t>雄性</w:t>
      </w:r>
      <w:r>
        <w:t>生殖健康状况的参考指标之一。本研究中，腹腔注射</w:t>
      </w:r>
      <w:r>
        <w:t>LPS</w:t>
      </w:r>
      <w:r>
        <w:t>同样导致睾丸系数及体积的显著下降，使用</w:t>
      </w:r>
      <w:r>
        <w:t>LYC</w:t>
      </w:r>
      <w:r>
        <w:t>可以显著提升</w:t>
      </w:r>
      <w:r>
        <w:t>LPS</w:t>
      </w:r>
      <w:r>
        <w:t>暴露导致的睾丸系数</w:t>
      </w:r>
      <w:r>
        <w:rPr>
          <w:rFonts w:hint="eastAsia"/>
        </w:rPr>
        <w:t>。</w:t>
      </w:r>
      <w:r>
        <w:t>与</w:t>
      </w:r>
      <w:r>
        <w:t>LPS+LYC</w:t>
      </w:r>
      <w:r>
        <w:t>组比，</w:t>
      </w:r>
      <w:proofErr w:type="spellStart"/>
      <w:r>
        <w:t>LPS+nLYC</w:t>
      </w:r>
      <w:proofErr w:type="spellEnd"/>
      <w:r>
        <w:rPr>
          <w:rFonts w:hint="eastAsia"/>
        </w:rPr>
        <w:t>组睾丸的</w:t>
      </w:r>
      <w:r>
        <w:t>恢复效果更显著。此外，本研究</w:t>
      </w:r>
      <w:r>
        <w:rPr>
          <w:rFonts w:hint="eastAsia"/>
        </w:rPr>
        <w:t>组织学观察</w:t>
      </w:r>
      <w:r>
        <w:t>和免疫组</w:t>
      </w:r>
      <w:proofErr w:type="gramStart"/>
      <w:r>
        <w:t>化结果</w:t>
      </w:r>
      <w:proofErr w:type="gramEnd"/>
      <w:r>
        <w:t>发现，</w:t>
      </w:r>
      <w:r>
        <w:t>LPS</w:t>
      </w:r>
      <w:r>
        <w:t>暴露会导致不同程度的病变，包括生精小管管腔变薄、生精细胞间隙增大，生精细胞层数减少，成熟精子数量减少，以及睾丸间质稀疏，睾丸支持细胞细胞，睾丸间质细胞数量显著减少。此外，</w:t>
      </w:r>
      <w:r>
        <w:t>LPS</w:t>
      </w:r>
      <w:r>
        <w:t>可导致睾丸组织发生凋亡。然而，</w:t>
      </w:r>
      <w:r>
        <w:t>LYC</w:t>
      </w:r>
      <w:r>
        <w:t>可以显著恢复睾丸结构的损伤，减少空泡化，生殖细胞向睾丸腔内脱落，且与</w:t>
      </w:r>
      <w:r>
        <w:t>LPS+LYC</w:t>
      </w:r>
      <w:r>
        <w:t>组比，</w:t>
      </w:r>
      <w:proofErr w:type="spellStart"/>
      <w:r>
        <w:t>LPS+nLYC</w:t>
      </w:r>
      <w:proofErr w:type="spellEnd"/>
      <w:r>
        <w:t>的恢复效果更显著，管腔内容排列紧凑，趋于正常。综上，</w:t>
      </w:r>
      <w:proofErr w:type="spellStart"/>
      <w:r>
        <w:t>nLYC</w:t>
      </w:r>
      <w:proofErr w:type="spellEnd"/>
      <w:r>
        <w:t xml:space="preserve"> NPs</w:t>
      </w:r>
      <w:r>
        <w:t>具有显著的抗炎治疗效果</w:t>
      </w:r>
      <w:r>
        <w:rPr>
          <w:rFonts w:hint="eastAsia"/>
        </w:rPr>
        <w:t>，其</w:t>
      </w:r>
      <w:proofErr w:type="gramStart"/>
      <w:r>
        <w:rPr>
          <w:rFonts w:hint="eastAsia"/>
        </w:rPr>
        <w:t>纳米化</w:t>
      </w:r>
      <w:proofErr w:type="gramEnd"/>
      <w:r>
        <w:rPr>
          <w:rFonts w:hint="eastAsia"/>
        </w:rPr>
        <w:t>的番茄红素要比普通剂型表现出更好的治疗作用</w:t>
      </w:r>
      <w:r>
        <w:t>。</w:t>
      </w:r>
    </w:p>
    <w:p w14:paraId="0838AB8A" w14:textId="77777777" w:rsidR="00CB5FBB" w:rsidRDefault="00000000">
      <w:pPr>
        <w:pStyle w:val="aff0"/>
      </w:pPr>
      <w:bookmarkStart w:id="24" w:name="_Toc132809381"/>
      <w:bookmarkStart w:id="25" w:name="_Toc232419418"/>
      <w:bookmarkEnd w:id="24"/>
      <w:r>
        <w:rPr>
          <w:rFonts w:hint="eastAsia"/>
        </w:rPr>
        <w:lastRenderedPageBreak/>
        <w:t xml:space="preserve">4.2 </w:t>
      </w:r>
      <w:proofErr w:type="spellStart"/>
      <w:r>
        <w:t>nLYC</w:t>
      </w:r>
      <w:proofErr w:type="spellEnd"/>
      <w:r>
        <w:t>对炎症诱导激素合成异常的影响</w:t>
      </w:r>
      <w:bookmarkEnd w:id="25"/>
    </w:p>
    <w:p w14:paraId="01197F0A" w14:textId="77777777" w:rsidR="00CB5FBB" w:rsidRDefault="00000000">
      <w:pPr>
        <w:ind w:firstLine="420"/>
      </w:pPr>
      <w:r>
        <w:rPr>
          <w:rFonts w:hint="eastAsia"/>
        </w:rPr>
        <w:t>T</w:t>
      </w:r>
      <w:r>
        <w:t>是一种类固醇激素，主要由睾丸的</w:t>
      </w:r>
      <w:r>
        <w:t>Leydig</w:t>
      </w:r>
      <w:r>
        <w:t>细胞合成。</w:t>
      </w:r>
      <w:r>
        <w:t>T</w:t>
      </w:r>
      <w:r>
        <w:t>在男性身体发育、生殖和代谢方面起着重要作用。在睾丸中，</w:t>
      </w:r>
      <w:r>
        <w:t>T</w:t>
      </w:r>
      <w:r>
        <w:t>刺激了精原细胞的生长和分裂，促进了精子的形成。它还可以促进精子的成熟和精子质量的提高</w:t>
      </w:r>
      <w:r>
        <w:rPr>
          <w:vertAlign w:val="superscript"/>
        </w:rPr>
        <w:t>[</w:t>
      </w:r>
      <w:hyperlink r:id="rId21" w:anchor="_ENREF_230" w:tooltip="Haring, 2017 #933" w:history="1">
        <w:r w:rsidR="00CB5FBB">
          <w:rPr>
            <w:rStyle w:val="ae"/>
            <w:vertAlign w:val="superscript"/>
          </w:rPr>
          <w:t>230</w:t>
        </w:r>
      </w:hyperlink>
      <w:r>
        <w:rPr>
          <w:vertAlign w:val="superscript"/>
        </w:rPr>
        <w:t>]</w:t>
      </w:r>
      <w:r>
        <w:t>。此外，</w:t>
      </w:r>
      <w:r>
        <w:t>T</w:t>
      </w:r>
      <w:r>
        <w:t>也可以增加精子的数量，从而增加生殖能力。除了对精子的影响，</w:t>
      </w:r>
      <w:r>
        <w:t>T</w:t>
      </w:r>
      <w:r>
        <w:t>也可以促进男性的性成熟，包括增加生殖器官的大小、促进体毛等雄性第二性征等</w:t>
      </w:r>
      <w:r>
        <w:rPr>
          <w:vertAlign w:val="superscript"/>
        </w:rPr>
        <w:t>[</w:t>
      </w:r>
      <w:hyperlink r:id="rId22" w:anchor="_ENREF_231" w:tooltip="Gagliano-Jucá, 2019 #934" w:history="1">
        <w:r w:rsidR="00CB5FBB">
          <w:rPr>
            <w:rStyle w:val="ae"/>
            <w:vertAlign w:val="superscript"/>
          </w:rPr>
          <w:t>231</w:t>
        </w:r>
      </w:hyperlink>
      <w:r>
        <w:rPr>
          <w:vertAlign w:val="superscript"/>
        </w:rPr>
        <w:t>]</w:t>
      </w:r>
      <w:r>
        <w:t>。</w:t>
      </w:r>
      <w:r>
        <w:t>T</w:t>
      </w:r>
      <w:r>
        <w:t>还可以促进肌肉的生长和骨骼的健康，影响代谢和脂肪分布，对男性身体的整体健康都有影响。</w:t>
      </w:r>
      <w:r>
        <w:t>Hassan</w:t>
      </w:r>
      <w:r>
        <w:t>研究结果表明，与对照大鼠相比，注射</w:t>
      </w:r>
      <w:r>
        <w:t>LPS</w:t>
      </w:r>
      <w:r>
        <w:t>后</w:t>
      </w:r>
      <w:r>
        <w:t>6h</w:t>
      </w:r>
      <w:r>
        <w:t>和</w:t>
      </w:r>
      <w:r>
        <w:t>12h</w:t>
      </w:r>
      <w:r>
        <w:rPr>
          <w:rFonts w:hint="eastAsia"/>
        </w:rPr>
        <w:t>后</w:t>
      </w:r>
      <w:r>
        <w:t>大鼠的</w:t>
      </w:r>
      <w:r>
        <w:t>T</w:t>
      </w:r>
      <w:r>
        <w:t>水平显着降低</w:t>
      </w:r>
      <w:r>
        <w:rPr>
          <w:vertAlign w:val="superscript"/>
        </w:rPr>
        <w:t>[</w:t>
      </w:r>
      <w:hyperlink r:id="rId23" w:anchor="_ENREF_232" w:tooltip="Hassan, 2017 #909" w:history="1">
        <w:r w:rsidR="00CB5FBB">
          <w:rPr>
            <w:rStyle w:val="ae"/>
            <w:vertAlign w:val="superscript"/>
          </w:rPr>
          <w:t>232</w:t>
        </w:r>
      </w:hyperlink>
      <w:r>
        <w:rPr>
          <w:vertAlign w:val="superscript"/>
        </w:rPr>
        <w:t>]</w:t>
      </w:r>
      <w:r>
        <w:t>。本研究得出类似的结果，</w:t>
      </w:r>
      <w:r>
        <w:t>LPS</w:t>
      </w:r>
      <w:r>
        <w:t>可显著降低</w:t>
      </w:r>
      <w:r>
        <w:t>T</w:t>
      </w:r>
      <w:r>
        <w:t>含量。然而，</w:t>
      </w:r>
      <w:proofErr w:type="spellStart"/>
      <w:r>
        <w:t>nLYC</w:t>
      </w:r>
      <w:proofErr w:type="spellEnd"/>
      <w:r>
        <w:t>可以逆转由</w:t>
      </w:r>
      <w:r>
        <w:t>LPS</w:t>
      </w:r>
      <w:r>
        <w:t>暴露诱发的</w:t>
      </w:r>
      <w:r>
        <w:t>T</w:t>
      </w:r>
      <w:r>
        <w:t>合成降低。</w:t>
      </w:r>
      <w:proofErr w:type="spellStart"/>
      <w:r>
        <w:t>StAR</w:t>
      </w:r>
      <w:proofErr w:type="spellEnd"/>
      <w:r>
        <w:t>是</w:t>
      </w:r>
      <w:r>
        <w:t>T</w:t>
      </w:r>
      <w:r>
        <w:t>激素生物合成的重要限速步骤</w:t>
      </w:r>
      <w:r>
        <w:rPr>
          <w:vertAlign w:val="superscript"/>
        </w:rPr>
        <w:t>[</w:t>
      </w:r>
      <w:hyperlink r:id="rId24" w:anchor="_ENREF_233" w:tooltip="Liu, 2022 #925" w:history="1">
        <w:r w:rsidR="00CB5FBB">
          <w:rPr>
            <w:rStyle w:val="ae"/>
            <w:vertAlign w:val="superscript"/>
          </w:rPr>
          <w:t>233</w:t>
        </w:r>
      </w:hyperlink>
      <w:r>
        <w:rPr>
          <w:vertAlign w:val="superscript"/>
        </w:rPr>
        <w:t>]</w:t>
      </w:r>
      <w:r>
        <w:t>，免疫荧光切片结果表明在</w:t>
      </w:r>
      <w:r>
        <w:t>LPS</w:t>
      </w:r>
      <w:r>
        <w:t>暴露时，</w:t>
      </w:r>
      <w:proofErr w:type="spellStart"/>
      <w:r>
        <w:t>StAR</w:t>
      </w:r>
      <w:proofErr w:type="spellEnd"/>
      <w:r>
        <w:t>表达量显著降低。此外，本研究还发现</w:t>
      </w:r>
      <w:proofErr w:type="spellStart"/>
      <w:r>
        <w:t>nLYC</w:t>
      </w:r>
      <w:proofErr w:type="spellEnd"/>
      <w:r>
        <w:t>可以逆转由</w:t>
      </w:r>
      <w:r>
        <w:t>LPS</w:t>
      </w:r>
      <w:r>
        <w:t>暴露诱发的</w:t>
      </w:r>
      <w:r>
        <w:t>LH</w:t>
      </w:r>
      <w:r>
        <w:t>、</w:t>
      </w:r>
      <w:r>
        <w:t>FSH</w:t>
      </w:r>
      <w:r>
        <w:t>激素水平的下降</w:t>
      </w:r>
      <w:r>
        <w:rPr>
          <w:rFonts w:hint="eastAsia"/>
        </w:rPr>
        <w:t>，且相比较于</w:t>
      </w:r>
      <w:r>
        <w:rPr>
          <w:rFonts w:hint="eastAsia"/>
        </w:rPr>
        <w:t>LPS+LYC</w:t>
      </w:r>
      <w:r>
        <w:rPr>
          <w:rFonts w:hint="eastAsia"/>
        </w:rPr>
        <w:t>组，</w:t>
      </w:r>
      <w:proofErr w:type="spellStart"/>
      <w:r>
        <w:rPr>
          <w:rFonts w:hint="eastAsia"/>
        </w:rPr>
        <w:t>LPS</w:t>
      </w:r>
      <w:r>
        <w:t>+</w:t>
      </w:r>
      <w:r>
        <w:rPr>
          <w:rFonts w:hint="eastAsia"/>
        </w:rPr>
        <w:t>nLYC</w:t>
      </w:r>
      <w:proofErr w:type="spellEnd"/>
      <w:proofErr w:type="gramStart"/>
      <w:r>
        <w:rPr>
          <w:rFonts w:hint="eastAsia"/>
        </w:rPr>
        <w:t>组治疗</w:t>
      </w:r>
      <w:proofErr w:type="gramEnd"/>
      <w:r>
        <w:rPr>
          <w:rFonts w:hint="eastAsia"/>
        </w:rPr>
        <w:t>效果更为明显</w:t>
      </w:r>
      <w:r>
        <w:t>。综上，</w:t>
      </w:r>
      <w:proofErr w:type="spellStart"/>
      <w:r>
        <w:t>nLYC</w:t>
      </w:r>
      <w:proofErr w:type="spellEnd"/>
      <w:r>
        <w:t>可</w:t>
      </w:r>
      <w:r>
        <w:rPr>
          <w:rFonts w:hint="eastAsia"/>
        </w:rPr>
        <w:t>显著</w:t>
      </w:r>
      <w:r>
        <w:t>缓解睾丸炎症导致的</w:t>
      </w:r>
      <w:r>
        <w:t>T</w:t>
      </w:r>
      <w:r>
        <w:t>合成降低。</w:t>
      </w:r>
    </w:p>
    <w:p w14:paraId="4A2B550F" w14:textId="77777777" w:rsidR="00CB5FBB" w:rsidRDefault="00000000">
      <w:pPr>
        <w:pStyle w:val="aff0"/>
      </w:pPr>
      <w:bookmarkStart w:id="26" w:name="_Toc232419419"/>
      <w:r>
        <w:rPr>
          <w:rFonts w:hint="eastAsia"/>
        </w:rPr>
        <w:t xml:space="preserve">4.3 </w:t>
      </w:r>
      <w:proofErr w:type="spellStart"/>
      <w:r>
        <w:t>nLYC</w:t>
      </w:r>
      <w:proofErr w:type="spellEnd"/>
      <w:r>
        <w:t>的体内分布和安全评估</w:t>
      </w:r>
      <w:bookmarkEnd w:id="26"/>
    </w:p>
    <w:p w14:paraId="7B6B03A7" w14:textId="77777777" w:rsidR="00CB5FBB" w:rsidRDefault="00000000">
      <w:pPr>
        <w:ind w:firstLine="420"/>
      </w:pPr>
      <w:r>
        <w:t>为了确定</w:t>
      </w:r>
      <w:proofErr w:type="spellStart"/>
      <w:r>
        <w:t>nLYC</w:t>
      </w:r>
      <w:proofErr w:type="spellEnd"/>
      <w:r>
        <w:t>在细胞中的释放位置，本研究利用</w:t>
      </w:r>
      <w:r>
        <w:t>CY5.5</w:t>
      </w:r>
      <w:r>
        <w:t>代替</w:t>
      </w:r>
      <w:r>
        <w:t>LYC</w:t>
      </w:r>
      <w:r>
        <w:t>进行示踪研究。体内实验结果显示，尾静脉注射后，</w:t>
      </w:r>
      <w:proofErr w:type="spellStart"/>
      <w:r>
        <w:rPr>
          <w:rFonts w:hint="eastAsia"/>
        </w:rPr>
        <w:t>nLYC</w:t>
      </w:r>
      <w:proofErr w:type="spellEnd"/>
      <w:r>
        <w:t xml:space="preserve"> </w:t>
      </w:r>
      <w:r>
        <w:rPr>
          <w:rFonts w:hint="eastAsia"/>
        </w:rPr>
        <w:t>NPs</w:t>
      </w:r>
      <w:r>
        <w:t>显示出较好的靶向性，在</w:t>
      </w:r>
      <w:r>
        <w:t>12h</w:t>
      </w:r>
      <w:r>
        <w:t>时信号最强，达到峰值。而</w:t>
      </w:r>
      <w:proofErr w:type="spellStart"/>
      <w:r>
        <w:rPr>
          <w:rFonts w:hint="eastAsia"/>
        </w:rPr>
        <w:t>ntLYC</w:t>
      </w:r>
      <w:proofErr w:type="spellEnd"/>
      <w:r>
        <w:t xml:space="preserve"> </w:t>
      </w:r>
      <w:r>
        <w:rPr>
          <w:rFonts w:hint="eastAsia"/>
        </w:rPr>
        <w:t>NPs</w:t>
      </w:r>
      <w:r>
        <w:t>主要分布在肝脏。良好的靶向性会增加其药效，减少肝脏内的蓄积和代谢。为了验证</w:t>
      </w:r>
      <w:r>
        <w:t>FSH</w:t>
      </w:r>
      <w:r>
        <w:t>是否</w:t>
      </w:r>
      <w:proofErr w:type="gramStart"/>
      <w:r>
        <w:t>会靶向</w:t>
      </w:r>
      <w:proofErr w:type="gramEnd"/>
      <w:r>
        <w:t>至睾丸支持细胞，本实验还对尾静脉注射后的小鼠进行了冰冻切片检测</w:t>
      </w:r>
      <w:r>
        <w:rPr>
          <w:rFonts w:hint="eastAsia"/>
        </w:rPr>
        <w:t>。</w:t>
      </w:r>
      <w:r>
        <w:t>结果显示，随着时间的增加，睾丸支持细胞内的荧光逐渐变大，表现出较好的靶向性。除睾丸支持细胞荧光强度较高外，睾丸间质细胞也被检测到有荧光信号，这可能说明，</w:t>
      </w:r>
      <w:proofErr w:type="spellStart"/>
      <w:r>
        <w:t>nLYC</w:t>
      </w:r>
      <w:proofErr w:type="spellEnd"/>
      <w:r>
        <w:t>的靶向性输送至睾丸组织的支持细胞时，蓄积在睾丸中，部分被睾丸间质细胞摄取。此外，各脏器的组织学结果显示，不同剂量的</w:t>
      </w:r>
      <w:proofErr w:type="spellStart"/>
      <w:r>
        <w:rPr>
          <w:rFonts w:hint="eastAsia"/>
        </w:rPr>
        <w:t>nLYC</w:t>
      </w:r>
      <w:proofErr w:type="spellEnd"/>
      <w:r>
        <w:t xml:space="preserve"> </w:t>
      </w:r>
      <w:r>
        <w:rPr>
          <w:rFonts w:hint="eastAsia"/>
        </w:rPr>
        <w:t>NPs</w:t>
      </w:r>
      <w:r>
        <w:t>处理</w:t>
      </w:r>
      <w:r>
        <w:t>28d</w:t>
      </w:r>
      <w:r>
        <w:t>后不会对组织器官造成损伤，具有良好的安全性。肝功、肾功、肌酸激酶和血常规的结果均未出现异常。综上研究表明，本实验成功制备了生物安全的，具有睾丸靶向功能的</w:t>
      </w:r>
      <w:proofErr w:type="spellStart"/>
      <w:r>
        <w:t>nLYC</w:t>
      </w:r>
      <w:proofErr w:type="spellEnd"/>
      <w:r>
        <w:t xml:space="preserve"> NPs</w:t>
      </w:r>
      <w:r>
        <w:t>。</w:t>
      </w:r>
    </w:p>
    <w:permEnd w:id="851858204"/>
    <w:p w14:paraId="537815DA" w14:textId="77777777" w:rsidR="00CB5FBB" w:rsidRDefault="00CB5FBB">
      <w:pPr>
        <w:ind w:firstLine="420"/>
      </w:pPr>
    </w:p>
    <w:p w14:paraId="40EB3386" w14:textId="77777777" w:rsidR="00CB5FBB" w:rsidRDefault="00CB5FBB">
      <w:pPr>
        <w:pStyle w:val="af6"/>
        <w:sectPr w:rsidR="00CB5FBB">
          <w:pgSz w:w="11906" w:h="16838"/>
          <w:pgMar w:top="1440" w:right="1800" w:bottom="1440" w:left="1800" w:header="425" w:footer="992" w:gutter="0"/>
          <w:cols w:space="425"/>
          <w:docGrid w:type="lines" w:linePitch="312"/>
        </w:sectPr>
      </w:pPr>
    </w:p>
    <w:p w14:paraId="1A2461AA" w14:textId="77777777" w:rsidR="00CB5FBB" w:rsidRDefault="00000000">
      <w:pPr>
        <w:pStyle w:val="af6"/>
      </w:pPr>
      <w:bookmarkStart w:id="27" w:name="_Toc232419420"/>
      <w:r>
        <w:rPr>
          <w:rFonts w:hint="eastAsia"/>
        </w:rPr>
        <w:lastRenderedPageBreak/>
        <w:t xml:space="preserve">5 </w:t>
      </w:r>
      <w:r>
        <w:t>结</w:t>
      </w:r>
      <w:r>
        <w:rPr>
          <w:rFonts w:hint="eastAsia"/>
        </w:rPr>
        <w:t xml:space="preserve"> </w:t>
      </w:r>
      <w:r>
        <w:t>论</w:t>
      </w:r>
      <w:bookmarkEnd w:id="27"/>
    </w:p>
    <w:p w14:paraId="00C38344" w14:textId="77777777" w:rsidR="00CB5FBB" w:rsidRDefault="00000000">
      <w:pPr>
        <w:pStyle w:val="afe"/>
      </w:pPr>
      <w:r>
        <w:rPr>
          <w:rFonts w:hint="eastAsia"/>
        </w:rPr>
        <w:t>[</w:t>
      </w:r>
      <w:r>
        <w:t>结论需在研究结果基础上进行归纳提炼，客观总结本研究核心发现，明确回应前言提出的科学问题与研究假设；应突出研究的创新点与理论</w:t>
      </w:r>
      <w:r>
        <w:t>/</w:t>
      </w:r>
      <w:r>
        <w:t>实践意义，简明概括关键结论，避免简单重复结果内容。表述需严谨规范，不夸大、不臆断，对研究不足与未来展望可简要提及；逻辑清晰、层次分明，与前文研究内容高度呼应，形成完整闭环</w:t>
      </w:r>
      <w:r>
        <w:rPr>
          <w:rFonts w:hint="eastAsia"/>
        </w:rPr>
        <w:t>，硕士论文写</w:t>
      </w:r>
      <w:r>
        <w:rPr>
          <w:rFonts w:hint="eastAsia"/>
        </w:rPr>
        <w:t>3</w:t>
      </w:r>
      <w:r>
        <w:rPr>
          <w:rFonts w:hint="eastAsia"/>
        </w:rPr>
        <w:t>条结论即可。范例如下</w:t>
      </w:r>
      <w:r>
        <w:rPr>
          <w:rFonts w:hint="eastAsia"/>
        </w:rPr>
        <w:t>]</w:t>
      </w:r>
    </w:p>
    <w:p w14:paraId="678F6646" w14:textId="77777777" w:rsidR="00CB5FBB" w:rsidRDefault="00000000">
      <w:pPr>
        <w:ind w:firstLine="422"/>
        <w:rPr>
          <w:b/>
          <w:bCs/>
          <w:color w:val="3A7C22" w:themeColor="accent6" w:themeShade="BF"/>
        </w:rPr>
      </w:pPr>
      <w:permStart w:id="348792113" w:edGrp="everyone"/>
      <w:r>
        <w:rPr>
          <w:rFonts w:hint="eastAsia"/>
          <w:b/>
          <w:bCs/>
          <w:color w:val="3A7C22" w:themeColor="accent6" w:themeShade="BF"/>
        </w:rPr>
        <w:t>正确示范：</w:t>
      </w:r>
    </w:p>
    <w:p w14:paraId="03536978" w14:textId="77777777" w:rsidR="00CB5FBB" w:rsidRDefault="00000000">
      <w:pPr>
        <w:ind w:firstLine="420"/>
      </w:pPr>
      <w:r>
        <w:t>（</w:t>
      </w:r>
      <w:r>
        <w:t>1</w:t>
      </w:r>
      <w:r>
        <w:t>）</w:t>
      </w:r>
      <w:r>
        <w:rPr>
          <w:rFonts w:hint="eastAsia"/>
        </w:rPr>
        <w:t>纳米番茄红素具有优良的生理稳定性、生物安全性和组织分布性，经过靶向修饰后表现出较强的睾丸支持细胞靶向性和</w:t>
      </w:r>
      <w:r>
        <w:rPr>
          <w:rFonts w:hint="eastAsia"/>
        </w:rPr>
        <w:t>ATP</w:t>
      </w:r>
      <w:r>
        <w:rPr>
          <w:rFonts w:hint="eastAsia"/>
        </w:rPr>
        <w:t>响应性释放，表明靶向睾丸的</w:t>
      </w:r>
      <w:proofErr w:type="spellStart"/>
      <w:r>
        <w:rPr>
          <w:rFonts w:hint="eastAsia"/>
        </w:rPr>
        <w:t>nLYC</w:t>
      </w:r>
      <w:proofErr w:type="spellEnd"/>
      <w:r>
        <w:t xml:space="preserve"> NPs</w:t>
      </w:r>
      <w:r>
        <w:rPr>
          <w:rFonts w:hint="eastAsia"/>
        </w:rPr>
        <w:t>制备成功。</w:t>
      </w:r>
    </w:p>
    <w:p w14:paraId="3201DDF6" w14:textId="77777777" w:rsidR="00CB5FBB" w:rsidRDefault="00CB5FBB">
      <w:pPr>
        <w:ind w:firstLine="420"/>
      </w:pPr>
    </w:p>
    <w:p w14:paraId="0CACF725" w14:textId="77777777" w:rsidR="00CB5FBB" w:rsidRDefault="00000000">
      <w:pPr>
        <w:ind w:firstLine="422"/>
        <w:rPr>
          <w:b/>
          <w:bCs/>
          <w:color w:val="EE0000"/>
        </w:rPr>
      </w:pPr>
      <w:r>
        <w:rPr>
          <w:rFonts w:hint="eastAsia"/>
          <w:b/>
          <w:bCs/>
          <w:color w:val="EE0000"/>
        </w:rPr>
        <w:t>错误示范：</w:t>
      </w:r>
    </w:p>
    <w:p w14:paraId="62920993" w14:textId="77777777" w:rsidR="00CB5FBB" w:rsidRDefault="00000000">
      <w:pPr>
        <w:ind w:firstLine="420"/>
      </w:pPr>
      <w:r>
        <w:t>（</w:t>
      </w:r>
      <w:r>
        <w:t>1</w:t>
      </w:r>
      <w:r>
        <w:t>）</w:t>
      </w:r>
      <w:r>
        <w:rPr>
          <w:rFonts w:hint="eastAsia"/>
        </w:rPr>
        <w:t>纳米番茄红素的尺寸是</w:t>
      </w:r>
      <w:r>
        <w:rPr>
          <w:rFonts w:hint="eastAsia"/>
        </w:rPr>
        <w:t>100nm</w:t>
      </w:r>
      <w:r>
        <w:rPr>
          <w:rFonts w:hint="eastAsia"/>
        </w:rPr>
        <w:t>，经过一周的静置后发现，它具有优良的生理稳定性、生物安全性和组织分布性，表明靶向睾丸的</w:t>
      </w:r>
      <w:proofErr w:type="spellStart"/>
      <w:r>
        <w:rPr>
          <w:rFonts w:hint="eastAsia"/>
        </w:rPr>
        <w:t>nLYC</w:t>
      </w:r>
      <w:proofErr w:type="spellEnd"/>
      <w:r>
        <w:t xml:space="preserve"> NPs</w:t>
      </w:r>
      <w:r>
        <w:rPr>
          <w:rFonts w:hint="eastAsia"/>
        </w:rPr>
        <w:t>制备成功。</w:t>
      </w:r>
    </w:p>
    <w:permEnd w:id="348792113"/>
    <w:p w14:paraId="17864304" w14:textId="77777777" w:rsidR="00CB5FBB" w:rsidRDefault="00CB5FBB">
      <w:pPr>
        <w:ind w:firstLine="420"/>
      </w:pPr>
    </w:p>
    <w:p w14:paraId="14C5B889" w14:textId="77777777" w:rsidR="00CB5FBB" w:rsidRDefault="00CB5FBB">
      <w:pPr>
        <w:ind w:firstLine="420"/>
        <w:sectPr w:rsidR="00CB5FBB">
          <w:pgSz w:w="11906" w:h="16838"/>
          <w:pgMar w:top="1440" w:right="1800" w:bottom="1440" w:left="1800" w:header="425" w:footer="992" w:gutter="0"/>
          <w:cols w:space="425"/>
          <w:docGrid w:type="lines" w:linePitch="312"/>
        </w:sectPr>
      </w:pPr>
    </w:p>
    <w:p w14:paraId="00452F93" w14:textId="77777777" w:rsidR="00CB5FBB" w:rsidRDefault="00000000">
      <w:pPr>
        <w:pStyle w:val="af6"/>
        <w:jc w:val="center"/>
      </w:pPr>
      <w:bookmarkStart w:id="28" w:name="_Toc232419421"/>
      <w:r>
        <w:lastRenderedPageBreak/>
        <w:t>参考文献</w:t>
      </w:r>
      <w:bookmarkEnd w:id="28"/>
    </w:p>
    <w:p w14:paraId="793EB8AC" w14:textId="3C5FC3EC" w:rsidR="00CB5FBB" w:rsidRDefault="00CB5FBB">
      <w:pPr>
        <w:ind w:firstLine="420"/>
      </w:pPr>
    </w:p>
    <w:p w14:paraId="763F8702" w14:textId="77777777" w:rsidR="00CB5FBB" w:rsidRDefault="00CB5FBB">
      <w:pPr>
        <w:ind w:firstLine="420"/>
      </w:pPr>
    </w:p>
    <w:p w14:paraId="7E2B4EEF" w14:textId="77777777" w:rsidR="00CB5FBB" w:rsidRDefault="00CB5FBB">
      <w:pPr>
        <w:pStyle w:val="af6"/>
        <w:sectPr w:rsidR="00CB5FBB">
          <w:pgSz w:w="11906" w:h="16838"/>
          <w:pgMar w:top="1440" w:right="1800" w:bottom="1440" w:left="1800" w:header="425" w:footer="992" w:gutter="0"/>
          <w:cols w:space="425"/>
          <w:docGrid w:type="lines" w:linePitch="312"/>
        </w:sectPr>
      </w:pPr>
    </w:p>
    <w:p w14:paraId="5E8026BA" w14:textId="77777777" w:rsidR="00CB5FBB" w:rsidRDefault="00000000">
      <w:pPr>
        <w:pStyle w:val="af6"/>
        <w:jc w:val="center"/>
      </w:pPr>
      <w:bookmarkStart w:id="29" w:name="_Toc232419422"/>
      <w:r>
        <w:lastRenderedPageBreak/>
        <w:t>致</w:t>
      </w:r>
      <w:r>
        <w:rPr>
          <w:rFonts w:hint="eastAsia"/>
        </w:rPr>
        <w:t xml:space="preserve"> </w:t>
      </w:r>
      <w:r>
        <w:t>谢</w:t>
      </w:r>
      <w:bookmarkEnd w:id="29"/>
    </w:p>
    <w:p w14:paraId="65BE4DFF" w14:textId="0DD449F7" w:rsidR="003B7B48" w:rsidRDefault="003B7B48">
      <w:pPr>
        <w:ind w:firstLineChars="0" w:firstLine="0"/>
      </w:pPr>
      <w:permStart w:id="1786061861" w:edGrp="everyone"/>
    </w:p>
    <w:p w14:paraId="691AF347" w14:textId="77777777" w:rsidR="003B7B48" w:rsidRDefault="003B7B48">
      <w:pPr>
        <w:ind w:firstLineChars="0" w:firstLine="0"/>
      </w:pPr>
    </w:p>
    <w:p w14:paraId="755A89CE" w14:textId="01F918C8" w:rsidR="00CB5FBB" w:rsidRDefault="003B7B48" w:rsidP="00BC45ED">
      <w:pPr>
        <w:ind w:firstLineChars="0" w:firstLine="0"/>
      </w:pPr>
      <w:r>
        <w:fldChar w:fldCharType="begin"/>
      </w:r>
      <w:r>
        <w:instrText xml:space="preserve"> ADDIN EN.REFLIST </w:instrText>
      </w:r>
      <w:r>
        <w:fldChar w:fldCharType="separate"/>
      </w:r>
      <w:r>
        <w:fldChar w:fldCharType="end"/>
      </w:r>
      <w:permEnd w:id="1786061861"/>
    </w:p>
    <w:sectPr w:rsidR="00CB5FBB">
      <w:pgSz w:w="11906" w:h="16838"/>
      <w:pgMar w:top="1440" w:right="1800" w:bottom="1440" w:left="1800" w:header="425"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C481D" w14:textId="77777777" w:rsidR="001C430A" w:rsidRDefault="001C430A">
      <w:pPr>
        <w:spacing w:line="240" w:lineRule="auto"/>
        <w:ind w:firstLine="420"/>
      </w:pPr>
      <w:r>
        <w:separator/>
      </w:r>
    </w:p>
  </w:endnote>
  <w:endnote w:type="continuationSeparator" w:id="0">
    <w:p w14:paraId="2488F90F" w14:textId="77777777" w:rsidR="001C430A" w:rsidRDefault="001C430A">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隶书">
    <w:panose1 w:val="02010509060101010101"/>
    <w:charset w:val="86"/>
    <w:family w:val="modern"/>
    <w:pitch w:val="fixed"/>
    <w:sig w:usb0="00000001" w:usb1="080E0000" w:usb2="00000010" w:usb3="00000000" w:csb0="00040000" w:csb1="00000000"/>
  </w:font>
  <w:font w:name="a">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75B73" w14:textId="77777777" w:rsidR="00CB5FBB" w:rsidRDefault="00CB5FBB">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240707"/>
      <w:docPartObj>
        <w:docPartGallery w:val="AutoText"/>
      </w:docPartObj>
    </w:sdtPr>
    <w:sdtEndPr>
      <w:rPr>
        <w:b/>
        <w:bCs/>
        <w:sz w:val="20"/>
        <w:szCs w:val="20"/>
      </w:rPr>
    </w:sdtEndPr>
    <w:sdtContent>
      <w:p w14:paraId="6B54479E" w14:textId="77777777" w:rsidR="00CB5FBB" w:rsidRDefault="00000000">
        <w:pPr>
          <w:pStyle w:val="a5"/>
          <w:ind w:firstLine="360"/>
          <w:jc w:val="center"/>
          <w:rPr>
            <w:b/>
            <w:bCs/>
            <w:sz w:val="20"/>
            <w:szCs w:val="20"/>
          </w:rPr>
        </w:pPr>
        <w:r>
          <w:rPr>
            <w:b/>
            <w:bCs/>
            <w:sz w:val="20"/>
            <w:szCs w:val="20"/>
          </w:rPr>
          <w:fldChar w:fldCharType="begin"/>
        </w:r>
        <w:r>
          <w:rPr>
            <w:b/>
            <w:bCs/>
            <w:sz w:val="20"/>
            <w:szCs w:val="20"/>
          </w:rPr>
          <w:instrText>PAGE   \* MERGEFORMAT</w:instrText>
        </w:r>
        <w:r>
          <w:rPr>
            <w:b/>
            <w:bCs/>
            <w:sz w:val="20"/>
            <w:szCs w:val="20"/>
          </w:rPr>
          <w:fldChar w:fldCharType="separate"/>
        </w:r>
        <w:r>
          <w:rPr>
            <w:b/>
            <w:bCs/>
            <w:sz w:val="20"/>
            <w:szCs w:val="20"/>
            <w:lang w:val="zh-CN"/>
          </w:rPr>
          <w:t>2</w:t>
        </w:r>
        <w:r>
          <w:rPr>
            <w:b/>
            <w:bCs/>
            <w:sz w:val="20"/>
            <w:szCs w:val="20"/>
          </w:rPr>
          <w:fldChar w:fldCharType="end"/>
        </w:r>
      </w:p>
    </w:sdtContent>
  </w:sdt>
  <w:p w14:paraId="1B4C62F3" w14:textId="77777777" w:rsidR="00CB5FBB" w:rsidRDefault="00CB5FBB">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E3932" w14:textId="77777777" w:rsidR="00CB5FBB" w:rsidRDefault="00CB5FBB">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9564C" w14:textId="77777777" w:rsidR="001C430A" w:rsidRDefault="001C430A">
      <w:pPr>
        <w:ind w:firstLine="420"/>
      </w:pPr>
      <w:r>
        <w:separator/>
      </w:r>
    </w:p>
  </w:footnote>
  <w:footnote w:type="continuationSeparator" w:id="0">
    <w:p w14:paraId="390E484B" w14:textId="77777777" w:rsidR="001C430A" w:rsidRDefault="001C430A">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3AC32" w14:textId="77777777" w:rsidR="00CB5FBB" w:rsidRDefault="00000000">
    <w:pPr>
      <w:pStyle w:val="a7"/>
      <w:ind w:firstLine="360"/>
    </w:pPr>
    <w:r>
      <w:pict w14:anchorId="60E4E1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54954" o:spid="_x0000_s1032" type="#_x0000_t136" style="position:absolute;left:0;text-align:left;margin-left:0;margin-top:0;width:532.2pt;height:53.2pt;rotation:315;z-index:-251656192;mso-position-horizontal:center;mso-position-horizontal-relative:margin;mso-position-vertical:center;mso-position-vertical-relative:margin;mso-width-relative:page;mso-height-relative:page" o:allowincell="f" fillcolor="#d8d8d8 [2732]" stroked="f">
          <v:fill opacity=".5"/>
          <v:textpath style="font-family:&quot;宋体&quot;;font-size:1pt" fitpath="t" string="王浩然课题组内部文件"/>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283CC" w14:textId="77777777" w:rsidR="00CB5FBB" w:rsidRDefault="00000000">
    <w:pPr>
      <w:pStyle w:val="a7"/>
      <w:ind w:firstLine="360"/>
    </w:pPr>
    <w:r>
      <w:pict w14:anchorId="47AE7B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54955" o:spid="_x0000_s1033" type="#_x0000_t136" style="position:absolute;left:0;text-align:left;margin-left:0;margin-top:0;width:532.2pt;height:53.2pt;rotation:315;z-index:-251655168;mso-position-horizontal:center;mso-position-horizontal-relative:margin;mso-position-vertical:center;mso-position-vertical-relative:margin;mso-width-relative:page;mso-height-relative:page" o:allowincell="f" fillcolor="#d8d8d8 [2732]" stroked="f">
          <v:fill opacity=".5"/>
          <v:textpath style="font-family:&quot;宋体&quot;;font-size:1pt" fitpath="t" string="王浩然课题组内部文件"/>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72521" w14:textId="77777777" w:rsidR="00CB5FBB" w:rsidRDefault="00000000">
    <w:pPr>
      <w:pStyle w:val="a7"/>
      <w:ind w:firstLine="360"/>
    </w:pPr>
    <w:r>
      <w:pict w14:anchorId="0BC97D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54953" o:spid="_x0000_s1031" type="#_x0000_t136" style="position:absolute;left:0;text-align:left;margin-left:0;margin-top:0;width:532.2pt;height:53.2pt;rotation:315;z-index:-251657216;mso-position-horizontal:center;mso-position-horizontal-relative:margin;mso-position-vertical:center;mso-position-vertical-relative:margin;mso-width-relative:page;mso-height-relative:page" o:allowincell="f" fillcolor="#d8d8d8 [2732]" stroked="f">
          <v:fill opacity=".5"/>
          <v:textpath style="font-family:&quot;宋体&quot;;font-size:1pt" fitpath="t" string="王浩然课题组内部文件"/>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8F79DA"/>
    <w:multiLevelType w:val="hybridMultilevel"/>
    <w:tmpl w:val="BFE2F0FA"/>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7F0F2C2B"/>
    <w:multiLevelType w:val="hybridMultilevel"/>
    <w:tmpl w:val="7542C354"/>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503863261">
    <w:abstractNumId w:val="1"/>
  </w:num>
  <w:num w:numId="2" w16cid:durableId="221450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ocumentProtection w:edit="readOnly" w:formatting="1" w:enforcement="1" w:cryptProviderType="rsaAES" w:cryptAlgorithmClass="hash" w:cryptAlgorithmType="typeAny" w:cryptAlgorithmSid="14" w:cryptSpinCount="100000" w:hash="cIJnHujniO8a9RwReKUe/YkhOyyDIyylf4Ybbh74ZoEy+4LG2d1FFRZcjloAXgLCWvdwLueuUJCBE5JhSVgdpQ==" w:salt="ZV+NGIzVjszRKYlOLQ2HLg=="/>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9s2stxd9jv92e3e50xsvptt1tst5aa9wdr22&quot;&gt;My EndNote Library&lt;record-ids&gt;&lt;item&gt;207&lt;/item&gt;&lt;/record-ids&gt;&lt;/item&gt;&lt;/Libraries&gt;"/>
  </w:docVars>
  <w:rsids>
    <w:rsidRoot w:val="003B4125"/>
    <w:rsid w:val="000871E0"/>
    <w:rsid w:val="000E00C0"/>
    <w:rsid w:val="000F138C"/>
    <w:rsid w:val="000F2BAC"/>
    <w:rsid w:val="001244C3"/>
    <w:rsid w:val="0014222D"/>
    <w:rsid w:val="00181423"/>
    <w:rsid w:val="001C430A"/>
    <w:rsid w:val="0023464B"/>
    <w:rsid w:val="00250787"/>
    <w:rsid w:val="00253ECB"/>
    <w:rsid w:val="002A7DF8"/>
    <w:rsid w:val="002C40F0"/>
    <w:rsid w:val="003245E4"/>
    <w:rsid w:val="00365096"/>
    <w:rsid w:val="003A56F3"/>
    <w:rsid w:val="003B4125"/>
    <w:rsid w:val="003B7B48"/>
    <w:rsid w:val="004F5249"/>
    <w:rsid w:val="00534B8B"/>
    <w:rsid w:val="00691103"/>
    <w:rsid w:val="007468E8"/>
    <w:rsid w:val="00760029"/>
    <w:rsid w:val="008E07CA"/>
    <w:rsid w:val="00920E75"/>
    <w:rsid w:val="009266EF"/>
    <w:rsid w:val="009837ED"/>
    <w:rsid w:val="009A7415"/>
    <w:rsid w:val="00A11AB0"/>
    <w:rsid w:val="00BC45ED"/>
    <w:rsid w:val="00BE1CD4"/>
    <w:rsid w:val="00BE7AE3"/>
    <w:rsid w:val="00C42935"/>
    <w:rsid w:val="00CB32E8"/>
    <w:rsid w:val="00CB332F"/>
    <w:rsid w:val="00CB51E0"/>
    <w:rsid w:val="00CB5FBB"/>
    <w:rsid w:val="00CF4662"/>
    <w:rsid w:val="00D579CD"/>
    <w:rsid w:val="00D82C02"/>
    <w:rsid w:val="00DB3ACA"/>
    <w:rsid w:val="00DF4A88"/>
    <w:rsid w:val="00E300E5"/>
    <w:rsid w:val="00E57231"/>
    <w:rsid w:val="00E734DD"/>
    <w:rsid w:val="00F73567"/>
    <w:rsid w:val="00FE00DF"/>
    <w:rsid w:val="6ABF75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D13DA1"/>
  <w15:docId w15:val="{7A57934E-4C72-4611-9F55-2AC30FFD5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00" w:lineRule="auto"/>
      <w:ind w:firstLineChars="200" w:firstLine="200"/>
      <w:jc w:val="both"/>
    </w:pPr>
    <w:rPr>
      <w:rFonts w:ascii="Times New Roman" w:eastAsia="宋体" w:hAnsi="Times New Roman" w:cs="Times New Roman"/>
      <w:kern w:val="2"/>
      <w:sz w:val="21"/>
      <w:szCs w:val="21"/>
    </w:rPr>
  </w:style>
  <w:style w:type="paragraph" w:styleId="1">
    <w:name w:val="heading 1"/>
    <w:basedOn w:val="a"/>
    <w:next w:val="a"/>
    <w:link w:val="10"/>
    <w:uiPriority w:val="9"/>
    <w:pPr>
      <w:keepNext/>
      <w:keepLines/>
      <w:spacing w:before="480" w:after="80" w:line="278" w:lineRule="auto"/>
      <w:ind w:firstLineChars="0" w:firstLine="0"/>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pPr>
      <w:keepNext/>
      <w:keepLines/>
      <w:spacing w:before="160" w:after="80" w:line="278" w:lineRule="auto"/>
      <w:ind w:firstLineChars="0" w:firstLine="0"/>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pPr>
      <w:keepNext/>
      <w:keepLines/>
      <w:spacing w:before="160" w:after="80" w:line="278" w:lineRule="auto"/>
      <w:ind w:firstLineChars="0" w:firstLine="0"/>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pPr>
      <w:keepNext/>
      <w:keepLines/>
      <w:spacing w:before="80" w:after="40" w:line="278" w:lineRule="auto"/>
      <w:ind w:firstLineChars="0" w:firstLine="0"/>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pPr>
      <w:keepNext/>
      <w:keepLines/>
      <w:spacing w:before="80" w:after="40" w:line="278" w:lineRule="auto"/>
      <w:ind w:firstLineChars="0" w:firstLine="0"/>
      <w:jc w:val="left"/>
      <w:outlineLvl w:val="4"/>
    </w:pPr>
    <w:rPr>
      <w:rFonts w:asciiTheme="minorHAnsi" w:eastAsiaTheme="minorEastAsia" w:hAnsiTheme="minorHAnsi" w:cstheme="majorBidi"/>
      <w:color w:val="0F4761" w:themeColor="accent1" w:themeShade="BF"/>
      <w:sz w:val="24"/>
      <w:szCs w:val="24"/>
      <w14:ligatures w14:val="standardContextual"/>
    </w:rPr>
  </w:style>
  <w:style w:type="paragraph" w:styleId="6">
    <w:name w:val="heading 6"/>
    <w:basedOn w:val="a"/>
    <w:next w:val="a"/>
    <w:link w:val="60"/>
    <w:uiPriority w:val="9"/>
    <w:semiHidden/>
    <w:unhideWhenUsed/>
    <w:qFormat/>
    <w:pPr>
      <w:keepNext/>
      <w:keepLines/>
      <w:spacing w:before="40" w:line="278" w:lineRule="auto"/>
      <w:ind w:firstLineChars="0" w:firstLine="0"/>
      <w:jc w:val="left"/>
      <w:outlineLvl w:val="5"/>
    </w:pPr>
    <w:rPr>
      <w:rFonts w:asciiTheme="minorHAnsi" w:eastAsiaTheme="minorEastAsia" w:hAnsiTheme="minorHAnsi" w:cstheme="majorBidi"/>
      <w:b/>
      <w:bCs/>
      <w:color w:val="0F4761" w:themeColor="accent1" w:themeShade="BF"/>
      <w:sz w:val="22"/>
      <w:szCs w:val="24"/>
      <w14:ligatures w14:val="standardContextual"/>
    </w:rPr>
  </w:style>
  <w:style w:type="paragraph" w:styleId="7">
    <w:name w:val="heading 7"/>
    <w:basedOn w:val="a"/>
    <w:next w:val="a"/>
    <w:link w:val="70"/>
    <w:uiPriority w:val="9"/>
    <w:semiHidden/>
    <w:unhideWhenUsed/>
    <w:qFormat/>
    <w:pPr>
      <w:keepNext/>
      <w:keepLines/>
      <w:spacing w:before="40" w:line="278" w:lineRule="auto"/>
      <w:ind w:firstLineChars="0" w:firstLine="0"/>
      <w:jc w:val="left"/>
      <w:outlineLvl w:val="6"/>
    </w:pPr>
    <w:rPr>
      <w:rFonts w:asciiTheme="minorHAnsi" w:eastAsiaTheme="minorEastAsia" w:hAnsiTheme="minorHAnsi"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pPr>
      <w:keepNext/>
      <w:keepLines/>
      <w:spacing w:line="278" w:lineRule="auto"/>
      <w:ind w:firstLineChars="0" w:firstLine="0"/>
      <w:jc w:val="left"/>
      <w:outlineLvl w:val="7"/>
    </w:pPr>
    <w:rPr>
      <w:rFonts w:asciiTheme="minorHAnsi" w:eastAsiaTheme="minorEastAsia" w:hAnsiTheme="minorHAnsi"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pPr>
      <w:keepNext/>
      <w:keepLines/>
      <w:spacing w:line="278" w:lineRule="auto"/>
      <w:ind w:firstLineChars="0" w:firstLine="0"/>
      <w:jc w:val="left"/>
      <w:outlineLvl w:val="8"/>
    </w:pPr>
    <w:rPr>
      <w:rFonts w:asciiTheme="minorHAnsi" w:eastAsiaTheme="majorEastAsia" w:hAnsiTheme="minorHAnsi" w:cstheme="majorBidi"/>
      <w:color w:val="595959" w:themeColor="text1" w:themeTint="A6"/>
      <w:sz w:val="22"/>
      <w:szCs w:val="24"/>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autoRedefine/>
    <w:uiPriority w:val="39"/>
    <w:unhideWhenUsed/>
    <w:pPr>
      <w:widowControl/>
      <w:spacing w:after="100" w:line="259" w:lineRule="auto"/>
      <w:ind w:left="440" w:firstLineChars="0" w:firstLine="0"/>
      <w:jc w:val="left"/>
    </w:pPr>
    <w:rPr>
      <w:rFonts w:asciiTheme="minorHAnsi" w:eastAsiaTheme="minorEastAsia" w:hAnsiTheme="minorHAnsi"/>
      <w:kern w:val="0"/>
      <w:sz w:val="22"/>
      <w:szCs w:val="22"/>
    </w:rPr>
  </w:style>
  <w:style w:type="paragraph" w:styleId="a3">
    <w:name w:val="Date"/>
    <w:basedOn w:val="a"/>
    <w:next w:val="a"/>
    <w:link w:val="a4"/>
    <w:uiPriority w:val="99"/>
    <w:semiHidden/>
    <w:unhideWhenUsed/>
    <w:qFormat/>
    <w:pPr>
      <w:ind w:leftChars="2500" w:left="100"/>
    </w:p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tabs>
        <w:tab w:val="center" w:pos="4153"/>
        <w:tab w:val="right" w:pos="8306"/>
      </w:tabs>
      <w:snapToGrid w:val="0"/>
      <w:jc w:val="center"/>
    </w:pPr>
    <w:rPr>
      <w:sz w:val="18"/>
      <w:szCs w:val="18"/>
    </w:rPr>
  </w:style>
  <w:style w:type="paragraph" w:styleId="TOC1">
    <w:name w:val="toc 1"/>
    <w:basedOn w:val="a"/>
    <w:next w:val="a"/>
    <w:link w:val="TOC10"/>
    <w:autoRedefine/>
    <w:uiPriority w:val="39"/>
    <w:unhideWhenUsed/>
    <w:pPr>
      <w:widowControl/>
      <w:spacing w:after="100" w:line="259" w:lineRule="auto"/>
      <w:ind w:firstLineChars="0" w:firstLine="0"/>
      <w:jc w:val="left"/>
    </w:pPr>
    <w:rPr>
      <w:rFonts w:asciiTheme="minorHAnsi" w:eastAsiaTheme="minorEastAsia" w:hAnsiTheme="minorHAnsi"/>
      <w:kern w:val="0"/>
      <w:sz w:val="22"/>
      <w:szCs w:val="22"/>
    </w:rPr>
  </w:style>
  <w:style w:type="paragraph" w:styleId="a9">
    <w:name w:val="Subtitle"/>
    <w:basedOn w:val="a"/>
    <w:next w:val="a"/>
    <w:link w:val="aa"/>
    <w:uiPriority w:val="11"/>
    <w:p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paragraph" w:styleId="TOC2">
    <w:name w:val="toc 2"/>
    <w:basedOn w:val="a"/>
    <w:next w:val="a"/>
    <w:autoRedefine/>
    <w:uiPriority w:val="39"/>
    <w:unhideWhenUsed/>
    <w:pPr>
      <w:widowControl/>
      <w:spacing w:after="100" w:line="259" w:lineRule="auto"/>
      <w:ind w:left="220" w:firstLineChars="0" w:firstLine="0"/>
      <w:jc w:val="left"/>
    </w:pPr>
    <w:rPr>
      <w:rFonts w:asciiTheme="minorHAnsi" w:eastAsiaTheme="minorEastAsia" w:hAnsiTheme="minorHAnsi"/>
      <w:kern w:val="0"/>
      <w:sz w:val="22"/>
      <w:szCs w:val="22"/>
    </w:rPr>
  </w:style>
  <w:style w:type="paragraph" w:styleId="ab">
    <w:name w:val="Title"/>
    <w:basedOn w:val="a"/>
    <w:next w:val="a"/>
    <w:link w:val="ac"/>
    <w:uiPriority w:val="10"/>
    <w:pPr>
      <w:spacing w:after="80"/>
      <w:ind w:firstLineChars="0" w:firstLine="0"/>
      <w:contextualSpacing/>
      <w:jc w:val="center"/>
    </w:pPr>
    <w:rPr>
      <w:rFonts w:asciiTheme="majorHAnsi" w:eastAsiaTheme="majorEastAsia" w:hAnsiTheme="majorHAnsi" w:cstheme="majorBidi"/>
      <w:spacing w:val="-10"/>
      <w:kern w:val="28"/>
      <w:sz w:val="56"/>
      <w:szCs w:val="56"/>
      <w14:ligatures w14:val="standardContextual"/>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Pr>
      <w:color w:val="467886" w:themeColor="hyperlink"/>
      <w:u w:val="single"/>
    </w:rPr>
  </w:style>
  <w:style w:type="paragraph" w:customStyle="1" w:styleId="af">
    <w:name w:val="正文文本丫"/>
    <w:basedOn w:val="a"/>
    <w:link w:val="af0"/>
    <w:pPr>
      <w:spacing w:beforeLines="50" w:before="50" w:afterLines="50" w:after="50" w:line="360" w:lineRule="auto"/>
      <w:jc w:val="center"/>
    </w:pPr>
    <w:rPr>
      <w:rFonts w:cstheme="minorBidi"/>
      <w:b/>
      <w:bCs/>
      <w:color w:val="000000" w:themeColor="text1"/>
      <w:sz w:val="28"/>
      <w:szCs w:val="36"/>
      <w14:ligatures w14:val="standardContextual"/>
    </w:rPr>
  </w:style>
  <w:style w:type="character" w:customStyle="1" w:styleId="af0">
    <w:name w:val="正文文本丫 字符"/>
    <w:basedOn w:val="a0"/>
    <w:link w:val="af"/>
    <w:qFormat/>
    <w:rPr>
      <w:rFonts w:ascii="Times New Roman" w:eastAsia="宋体" w:hAnsi="Times New Roman"/>
      <w:b/>
      <w:bCs/>
      <w:color w:val="000000" w:themeColor="text1"/>
      <w:sz w:val="28"/>
      <w:szCs w:val="36"/>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1">
    <w:name w:val="Quote"/>
    <w:basedOn w:val="a"/>
    <w:next w:val="a"/>
    <w:link w:val="af2"/>
    <w:uiPriority w:val="29"/>
    <w:pPr>
      <w:spacing w:before="160" w:after="160" w:line="278" w:lineRule="auto"/>
      <w:ind w:firstLineChars="0" w:firstLine="0"/>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f2">
    <w:name w:val="引用 字符"/>
    <w:basedOn w:val="a0"/>
    <w:link w:val="af1"/>
    <w:uiPriority w:val="29"/>
    <w:qFormat/>
    <w:rPr>
      <w:i/>
      <w:iCs/>
      <w:color w:val="404040" w:themeColor="text1" w:themeTint="BF"/>
    </w:rPr>
  </w:style>
  <w:style w:type="paragraph" w:styleId="af3">
    <w:name w:val="List Paragraph"/>
    <w:basedOn w:val="a"/>
    <w:uiPriority w:val="34"/>
    <w:pPr>
      <w:spacing w:after="160" w:line="278" w:lineRule="auto"/>
      <w:ind w:left="720" w:firstLineChars="0" w:firstLine="0"/>
      <w:contextualSpacing/>
      <w:jc w:val="left"/>
    </w:pPr>
    <w:rPr>
      <w:rFonts w:asciiTheme="minorHAnsi" w:eastAsiaTheme="minorEastAsia" w:hAnsiTheme="minorHAnsi" w:cstheme="minorBidi"/>
      <w:sz w:val="22"/>
      <w:szCs w:val="24"/>
      <w14:ligatures w14:val="standardContextual"/>
    </w:rPr>
  </w:style>
  <w:style w:type="character" w:customStyle="1" w:styleId="11">
    <w:name w:val="明显强调1"/>
    <w:basedOn w:val="a0"/>
    <w:uiPriority w:val="21"/>
    <w:rPr>
      <w:i/>
      <w:iCs/>
      <w:color w:val="0F4761" w:themeColor="accent1" w:themeShade="BF"/>
    </w:rPr>
  </w:style>
  <w:style w:type="paragraph" w:styleId="af4">
    <w:name w:val="Intense Quote"/>
    <w:basedOn w:val="a"/>
    <w:next w:val="a"/>
    <w:link w:val="af5"/>
    <w:uiPriority w:val="30"/>
    <w:pPr>
      <w:pBdr>
        <w:top w:val="single" w:sz="4" w:space="10" w:color="0F4761" w:themeColor="accent1" w:themeShade="BF"/>
        <w:bottom w:val="single" w:sz="4" w:space="10" w:color="0F4761" w:themeColor="accent1" w:themeShade="BF"/>
      </w:pBdr>
      <w:spacing w:before="360" w:after="360" w:line="278" w:lineRule="auto"/>
      <w:ind w:left="864" w:right="864" w:firstLineChars="0" w:firstLine="0"/>
      <w:jc w:val="center"/>
    </w:pPr>
    <w:rPr>
      <w:rFonts w:asciiTheme="minorHAnsi" w:eastAsiaTheme="minorEastAsia" w:hAnsiTheme="minorHAnsi" w:cstheme="minorBidi"/>
      <w:i/>
      <w:iCs/>
      <w:color w:val="0F4761" w:themeColor="accent1" w:themeShade="BF"/>
      <w:sz w:val="22"/>
      <w:szCs w:val="24"/>
      <w14:ligatures w14:val="standardContextual"/>
    </w:rPr>
  </w:style>
  <w:style w:type="character" w:customStyle="1" w:styleId="af5">
    <w:name w:val="明显引用 字符"/>
    <w:basedOn w:val="a0"/>
    <w:link w:val="af4"/>
    <w:uiPriority w:val="30"/>
    <w:qFormat/>
    <w:rPr>
      <w:i/>
      <w:iCs/>
      <w:color w:val="0F4761" w:themeColor="accent1" w:themeShade="BF"/>
    </w:rPr>
  </w:style>
  <w:style w:type="character" w:customStyle="1" w:styleId="12">
    <w:name w:val="明显参考1"/>
    <w:basedOn w:val="a0"/>
    <w:uiPriority w:val="32"/>
    <w:rPr>
      <w:b/>
      <w:bCs/>
      <w:smallCaps/>
      <w:color w:val="0F4761" w:themeColor="accent1" w:themeShade="BF"/>
      <w:spacing w:val="5"/>
    </w:rPr>
  </w:style>
  <w:style w:type="character" w:customStyle="1" w:styleId="a8">
    <w:name w:val="页眉 字符"/>
    <w:basedOn w:val="a0"/>
    <w:link w:val="a7"/>
    <w:uiPriority w:val="99"/>
    <w:qFormat/>
    <w:rPr>
      <w:rFonts w:ascii="Times New Roman" w:eastAsia="宋体" w:hAnsi="Times New Roman" w:cs="Times New Roman"/>
      <w:sz w:val="18"/>
      <w:szCs w:val="18"/>
      <w14:ligatures w14:val="none"/>
    </w:rPr>
  </w:style>
  <w:style w:type="character" w:customStyle="1" w:styleId="a6">
    <w:name w:val="页脚 字符"/>
    <w:basedOn w:val="a0"/>
    <w:link w:val="a5"/>
    <w:uiPriority w:val="99"/>
    <w:qFormat/>
    <w:rPr>
      <w:rFonts w:ascii="Times New Roman" w:eastAsia="宋体" w:hAnsi="Times New Roman" w:cs="Times New Roman"/>
      <w:sz w:val="18"/>
      <w:szCs w:val="18"/>
      <w14:ligatures w14:val="none"/>
    </w:rPr>
  </w:style>
  <w:style w:type="character" w:customStyle="1" w:styleId="a4">
    <w:name w:val="日期 字符"/>
    <w:basedOn w:val="a0"/>
    <w:link w:val="a3"/>
    <w:uiPriority w:val="99"/>
    <w:semiHidden/>
    <w:rPr>
      <w:rFonts w:ascii="Times New Roman" w:eastAsia="宋体" w:hAnsi="Times New Roman" w:cs="Times New Roman"/>
      <w:sz w:val="21"/>
      <w:szCs w:val="21"/>
      <w14:ligatures w14:val="none"/>
    </w:rPr>
  </w:style>
  <w:style w:type="paragraph" w:customStyle="1" w:styleId="af6">
    <w:name w:val="一级标题"/>
    <w:basedOn w:val="a"/>
    <w:link w:val="af7"/>
    <w:qFormat/>
    <w:pPr>
      <w:ind w:firstLineChars="0" w:firstLine="0"/>
      <w:jc w:val="left"/>
      <w:outlineLvl w:val="0"/>
    </w:pPr>
    <w:rPr>
      <w:rFonts w:eastAsia="黑体"/>
      <w:sz w:val="36"/>
      <w:szCs w:val="36"/>
    </w:rPr>
  </w:style>
  <w:style w:type="character" w:customStyle="1" w:styleId="af7">
    <w:name w:val="一级标题 字符"/>
    <w:basedOn w:val="a0"/>
    <w:link w:val="af6"/>
    <w:qFormat/>
    <w:rPr>
      <w:rFonts w:ascii="Times New Roman" w:eastAsia="黑体" w:hAnsi="Times New Roman" w:cs="Times New Roman"/>
      <w:sz w:val="36"/>
      <w:szCs w:val="36"/>
      <w14:ligatures w14:val="none"/>
    </w:rPr>
  </w:style>
  <w:style w:type="paragraph" w:customStyle="1" w:styleId="af8">
    <w:name w:val="提示"/>
    <w:basedOn w:val="a"/>
    <w:link w:val="af9"/>
    <w:pPr>
      <w:ind w:firstLineChars="0" w:firstLine="0"/>
    </w:pPr>
    <w:rPr>
      <w:rFonts w:eastAsia="楷体"/>
      <w:color w:val="215E99" w:themeColor="text2" w:themeTint="BF"/>
      <w:sz w:val="28"/>
      <w:szCs w:val="28"/>
    </w:rPr>
  </w:style>
  <w:style w:type="character" w:customStyle="1" w:styleId="af9">
    <w:name w:val="提示 字符"/>
    <w:basedOn w:val="a0"/>
    <w:link w:val="af8"/>
    <w:qFormat/>
    <w:rPr>
      <w:rFonts w:ascii="Times New Roman" w:eastAsia="楷体" w:hAnsi="Times New Roman" w:cs="Times New Roman"/>
      <w:color w:val="215E99" w:themeColor="text2" w:themeTint="BF"/>
      <w:sz w:val="28"/>
      <w:szCs w:val="28"/>
      <w14:ligatures w14:val="none"/>
    </w:rPr>
  </w:style>
  <w:style w:type="paragraph" w:customStyle="1" w:styleId="TOC11">
    <w:name w:val="TOC 标题1"/>
    <w:basedOn w:val="1"/>
    <w:next w:val="a"/>
    <w:uiPriority w:val="39"/>
    <w:unhideWhenUsed/>
    <w:pPr>
      <w:widowControl/>
      <w:spacing w:before="240" w:after="0" w:line="259" w:lineRule="auto"/>
      <w:outlineLvl w:val="9"/>
    </w:pPr>
    <w:rPr>
      <w:kern w:val="0"/>
      <w:sz w:val="32"/>
      <w:szCs w:val="32"/>
      <w14:ligatures w14:val="none"/>
    </w:rPr>
  </w:style>
  <w:style w:type="paragraph" w:customStyle="1" w:styleId="afa">
    <w:name w:val="目录"/>
    <w:basedOn w:val="TOC1"/>
    <w:link w:val="afb"/>
    <w:pPr>
      <w:tabs>
        <w:tab w:val="right" w:leader="dot" w:pos="8296"/>
      </w:tabs>
    </w:pPr>
    <w:rPr>
      <w:rFonts w:ascii="Times New Roman" w:eastAsia="黑体" w:hAnsi="Times New Roman"/>
      <w:sz w:val="24"/>
      <w:szCs w:val="24"/>
    </w:rPr>
  </w:style>
  <w:style w:type="character" w:customStyle="1" w:styleId="TOC10">
    <w:name w:val="TOC 1 字符"/>
    <w:basedOn w:val="a0"/>
    <w:link w:val="TOC1"/>
    <w:uiPriority w:val="39"/>
    <w:qFormat/>
    <w:rPr>
      <w:rFonts w:cs="Times New Roman"/>
      <w:kern w:val="0"/>
      <w:szCs w:val="22"/>
      <w14:ligatures w14:val="none"/>
    </w:rPr>
  </w:style>
  <w:style w:type="character" w:customStyle="1" w:styleId="afb">
    <w:name w:val="目录 字符"/>
    <w:basedOn w:val="TOC10"/>
    <w:link w:val="afa"/>
    <w:qFormat/>
    <w:rPr>
      <w:rFonts w:ascii="Times New Roman" w:eastAsia="黑体" w:hAnsi="Times New Roman" w:cs="Times New Roman"/>
      <w:kern w:val="0"/>
      <w:sz w:val="24"/>
      <w:szCs w:val="22"/>
      <w14:ligatures w14:val="none"/>
    </w:rPr>
  </w:style>
  <w:style w:type="paragraph" w:customStyle="1" w:styleId="afc">
    <w:name w:val="摘要和目录特殊"/>
    <w:basedOn w:val="af6"/>
    <w:link w:val="afd"/>
    <w:qFormat/>
    <w:pPr>
      <w:jc w:val="center"/>
    </w:pPr>
  </w:style>
  <w:style w:type="character" w:customStyle="1" w:styleId="afd">
    <w:name w:val="摘要和目录特殊 字符"/>
    <w:basedOn w:val="af7"/>
    <w:link w:val="afc"/>
    <w:qFormat/>
    <w:rPr>
      <w:rFonts w:ascii="Times New Roman" w:eastAsia="黑体" w:hAnsi="Times New Roman" w:cs="Times New Roman"/>
      <w:sz w:val="36"/>
      <w:szCs w:val="36"/>
      <w14:ligatures w14:val="none"/>
    </w:rPr>
  </w:style>
  <w:style w:type="paragraph" w:customStyle="1" w:styleId="afe">
    <w:name w:val="提示内容"/>
    <w:basedOn w:val="af8"/>
    <w:link w:val="aff"/>
    <w:qFormat/>
    <w:pPr>
      <w:spacing w:line="360" w:lineRule="auto"/>
    </w:pPr>
    <w:rPr>
      <w:sz w:val="24"/>
      <w:szCs w:val="24"/>
    </w:rPr>
  </w:style>
  <w:style w:type="character" w:customStyle="1" w:styleId="aff">
    <w:name w:val="提示内容 字符"/>
    <w:basedOn w:val="af9"/>
    <w:link w:val="afe"/>
    <w:qFormat/>
    <w:rPr>
      <w:rFonts w:ascii="Times New Roman" w:eastAsia="楷体" w:hAnsi="Times New Roman" w:cs="Times New Roman"/>
      <w:color w:val="215E99" w:themeColor="text2" w:themeTint="BF"/>
      <w:sz w:val="24"/>
      <w:szCs w:val="28"/>
      <w14:ligatures w14:val="none"/>
    </w:rPr>
  </w:style>
  <w:style w:type="paragraph" w:customStyle="1" w:styleId="aff0">
    <w:name w:val="二级标题"/>
    <w:basedOn w:val="af8"/>
    <w:link w:val="aff1"/>
    <w:qFormat/>
    <w:pPr>
      <w:spacing w:before="120" w:after="120" w:line="240" w:lineRule="auto"/>
      <w:jc w:val="left"/>
      <w:outlineLvl w:val="1"/>
    </w:pPr>
    <w:rPr>
      <w:rFonts w:eastAsia="黑体"/>
      <w:color w:val="0D0D0D" w:themeColor="text1" w:themeTint="F2"/>
      <w:sz w:val="30"/>
      <w:szCs w:val="30"/>
    </w:rPr>
  </w:style>
  <w:style w:type="character" w:customStyle="1" w:styleId="aff1">
    <w:name w:val="二级标题 字符"/>
    <w:basedOn w:val="af9"/>
    <w:link w:val="aff0"/>
    <w:qFormat/>
    <w:rPr>
      <w:rFonts w:ascii="Times New Roman" w:eastAsia="黑体" w:hAnsi="Times New Roman" w:cs="Times New Roman"/>
      <w:color w:val="0D0D0D" w:themeColor="text1" w:themeTint="F2"/>
      <w:sz w:val="30"/>
      <w:szCs w:val="30"/>
      <w14:ligatures w14:val="none"/>
    </w:rPr>
  </w:style>
  <w:style w:type="paragraph" w:customStyle="1" w:styleId="aff2">
    <w:name w:val="三级标题"/>
    <w:basedOn w:val="af8"/>
    <w:link w:val="aff3"/>
    <w:qFormat/>
    <w:pPr>
      <w:spacing w:before="120" w:after="120" w:line="240" w:lineRule="auto"/>
      <w:jc w:val="left"/>
      <w:outlineLvl w:val="2"/>
    </w:pPr>
    <w:rPr>
      <w:rFonts w:eastAsia="黑体"/>
      <w:color w:val="0D0D0D" w:themeColor="text1" w:themeTint="F2"/>
    </w:rPr>
  </w:style>
  <w:style w:type="character" w:customStyle="1" w:styleId="aff3">
    <w:name w:val="三级标题 字符"/>
    <w:basedOn w:val="af9"/>
    <w:link w:val="aff2"/>
    <w:qFormat/>
    <w:rPr>
      <w:rFonts w:ascii="Times New Roman" w:eastAsia="黑体" w:hAnsi="Times New Roman" w:cs="Times New Roman"/>
      <w:color w:val="0D0D0D" w:themeColor="text1" w:themeTint="F2"/>
      <w:sz w:val="28"/>
      <w:szCs w:val="28"/>
      <w14:ligatures w14:val="none"/>
    </w:rPr>
  </w:style>
  <w:style w:type="paragraph" w:customStyle="1" w:styleId="aff4">
    <w:name w:val="四级标题"/>
    <w:basedOn w:val="af8"/>
    <w:link w:val="aff5"/>
    <w:qFormat/>
    <w:pPr>
      <w:spacing w:before="120" w:after="120" w:line="240" w:lineRule="auto"/>
      <w:jc w:val="left"/>
      <w:outlineLvl w:val="3"/>
    </w:pPr>
    <w:rPr>
      <w:rFonts w:eastAsia="黑体"/>
      <w:color w:val="0D0D0D" w:themeColor="text1" w:themeTint="F2"/>
      <w:sz w:val="24"/>
      <w:szCs w:val="24"/>
    </w:rPr>
  </w:style>
  <w:style w:type="character" w:customStyle="1" w:styleId="aff5">
    <w:name w:val="四级标题 字符"/>
    <w:basedOn w:val="af9"/>
    <w:link w:val="aff4"/>
    <w:qFormat/>
    <w:rPr>
      <w:rFonts w:ascii="Times New Roman" w:eastAsia="黑体" w:hAnsi="Times New Roman" w:cs="Times New Roman"/>
      <w:color w:val="0D0D0D" w:themeColor="text1" w:themeTint="F2"/>
      <w:sz w:val="24"/>
      <w:szCs w:val="28"/>
      <w14:ligatures w14:val="none"/>
    </w:rPr>
  </w:style>
  <w:style w:type="paragraph" w:customStyle="1" w:styleId="aff6">
    <w:name w:val="表头/图注格式"/>
    <w:basedOn w:val="a"/>
    <w:link w:val="aff7"/>
    <w:qFormat/>
    <w:pPr>
      <w:spacing w:line="240" w:lineRule="auto"/>
      <w:ind w:firstLineChars="0" w:firstLine="0"/>
      <w:jc w:val="center"/>
    </w:pPr>
    <w:rPr>
      <w:color w:val="000000"/>
    </w:rPr>
  </w:style>
  <w:style w:type="character" w:customStyle="1" w:styleId="aff7">
    <w:name w:val="表头/图注格式 字符"/>
    <w:basedOn w:val="a0"/>
    <w:link w:val="aff6"/>
    <w:qFormat/>
    <w:rPr>
      <w:rFonts w:ascii="Times New Roman" w:eastAsia="宋体" w:hAnsi="Times New Roman" w:cs="Times New Roman"/>
      <w:color w:val="000000"/>
      <w:sz w:val="21"/>
      <w:szCs w:val="21"/>
      <w14:ligatures w14:val="none"/>
    </w:rPr>
  </w:style>
  <w:style w:type="character" w:customStyle="1" w:styleId="13">
    <w:name w:val="未处理的提及1"/>
    <w:basedOn w:val="a0"/>
    <w:uiPriority w:val="99"/>
    <w:semiHidden/>
    <w:unhideWhenUsed/>
    <w:qFormat/>
    <w:rPr>
      <w:color w:val="605E5C"/>
      <w:shd w:val="clear" w:color="auto" w:fill="E1DFDD"/>
    </w:rPr>
  </w:style>
  <w:style w:type="character" w:styleId="aff8">
    <w:name w:val="annotation reference"/>
    <w:basedOn w:val="a0"/>
    <w:uiPriority w:val="99"/>
    <w:semiHidden/>
    <w:unhideWhenUsed/>
    <w:rsid w:val="003B7B48"/>
    <w:rPr>
      <w:sz w:val="21"/>
      <w:szCs w:val="21"/>
    </w:rPr>
  </w:style>
  <w:style w:type="character" w:customStyle="1" w:styleId="EndNoteBibliographyTitle">
    <w:name w:val="EndNote Bibliography Title 字符"/>
    <w:basedOn w:val="a0"/>
    <w:link w:val="aff8"/>
    <w:rsid w:val="003B7B48"/>
    <w:rPr>
      <w:rFonts w:ascii="Times New Roman" w:eastAsia="宋体" w:hAnsi="Times New Roman" w:cs="Times New Roman"/>
      <w:kern w:val="2"/>
      <w:sz w:val="21"/>
      <w:szCs w:val="21"/>
    </w:rPr>
  </w:style>
  <w:style w:type="character" w:customStyle="1" w:styleId="EndNoteBibliographyTitle1">
    <w:name w:val="EndNote Bibliography Title 字符1"/>
    <w:basedOn w:val="a0"/>
    <w:link w:val="aff8"/>
    <w:rsid w:val="003B7B48"/>
    <w:rPr>
      <w:rFonts w:ascii="Times New Roman" w:eastAsia="宋体" w:hAnsi="Times New Roman" w:cs="Times New Roman"/>
      <w:kern w:val="2"/>
      <w:sz w:val="21"/>
      <w:szCs w:val="21"/>
    </w:rPr>
  </w:style>
  <w:style w:type="character" w:customStyle="1" w:styleId="EndNoteBibliographyTitle2">
    <w:name w:val="EndNote Bibliography Title 字符2"/>
    <w:basedOn w:val="a0"/>
    <w:link w:val="aff8"/>
    <w:rsid w:val="003B7B48"/>
    <w:rPr>
      <w:rFonts w:ascii="Times New Roman" w:eastAsia="宋体" w:hAnsi="Times New Roman" w:cs="Times New Roman"/>
      <w:noProof/>
      <w:kern w:val="2"/>
      <w:sz w:val="21"/>
      <w:szCs w:val="21"/>
    </w:rPr>
  </w:style>
  <w:style w:type="paragraph" w:styleId="aff9">
    <w:name w:val="annotation text"/>
    <w:basedOn w:val="a"/>
    <w:link w:val="affa"/>
    <w:uiPriority w:val="99"/>
    <w:semiHidden/>
    <w:unhideWhenUsed/>
    <w:rsid w:val="003B7B48"/>
    <w:pPr>
      <w:jc w:val="left"/>
    </w:pPr>
  </w:style>
  <w:style w:type="character" w:customStyle="1" w:styleId="affa">
    <w:name w:val="批注文字 字符"/>
    <w:basedOn w:val="a0"/>
    <w:link w:val="aff9"/>
    <w:uiPriority w:val="99"/>
    <w:semiHidden/>
    <w:rsid w:val="003B7B48"/>
    <w:rPr>
      <w:rFonts w:ascii="Times New Roman" w:eastAsia="宋体" w:hAnsi="Times New Roman" w:cs="Times New Roman"/>
      <w:kern w:val="2"/>
      <w:sz w:val="21"/>
      <w:szCs w:val="21"/>
    </w:rPr>
  </w:style>
  <w:style w:type="paragraph" w:styleId="affb">
    <w:name w:val="annotation subject"/>
    <w:basedOn w:val="aff9"/>
    <w:next w:val="aff9"/>
    <w:link w:val="affc"/>
    <w:uiPriority w:val="99"/>
    <w:semiHidden/>
    <w:unhideWhenUsed/>
    <w:rsid w:val="003B7B48"/>
    <w:rPr>
      <w:b/>
      <w:bCs/>
    </w:rPr>
  </w:style>
  <w:style w:type="character" w:customStyle="1" w:styleId="affc">
    <w:name w:val="批注主题 字符"/>
    <w:basedOn w:val="affa"/>
    <w:link w:val="affb"/>
    <w:uiPriority w:val="99"/>
    <w:semiHidden/>
    <w:rsid w:val="003B7B48"/>
    <w:rPr>
      <w:rFonts w:ascii="Times New Roman" w:eastAsia="宋体" w:hAnsi="Times New Roman" w:cs="Times New Roman"/>
      <w:b/>
      <w:bCs/>
      <w:kern w:val="2"/>
      <w:sz w:val="21"/>
      <w:szCs w:val="21"/>
    </w:rPr>
  </w:style>
  <w:style w:type="paragraph" w:styleId="affd">
    <w:name w:val="Revision"/>
    <w:hidden/>
    <w:uiPriority w:val="99"/>
    <w:unhideWhenUsed/>
    <w:rsid w:val="003B7B48"/>
    <w:rPr>
      <w:rFonts w:ascii="Times New Roman" w:eastAsia="宋体" w:hAnsi="Times New Roman" w:cs="Times New Roman"/>
      <w:kern w:val="2"/>
      <w:sz w:val="21"/>
      <w:szCs w:val="21"/>
    </w:rPr>
  </w:style>
  <w:style w:type="paragraph" w:customStyle="1" w:styleId="EndNoteBibliographyTitle0">
    <w:name w:val="EndNote Bibliography Title"/>
    <w:basedOn w:val="a"/>
    <w:link w:val="EndNoteBibliographyTitle10"/>
    <w:rsid w:val="00D82C02"/>
    <w:pPr>
      <w:jc w:val="center"/>
    </w:pPr>
    <w:rPr>
      <w:noProof/>
      <w:sz w:val="20"/>
    </w:rPr>
  </w:style>
  <w:style w:type="character" w:customStyle="1" w:styleId="EndNoteBibliographyTitle3">
    <w:name w:val="EndNote Bibliography Title 字符3"/>
    <w:basedOn w:val="a0"/>
    <w:link w:val="EndNoteBibliographyTitle0"/>
    <w:rsid w:val="003B7B48"/>
    <w:rPr>
      <w:rFonts w:ascii="Times New Roman" w:eastAsia="宋体" w:hAnsi="Times New Roman" w:cs="Times New Roman"/>
      <w:kern w:val="2"/>
      <w:sz w:val="21"/>
      <w:szCs w:val="21"/>
    </w:rPr>
  </w:style>
  <w:style w:type="character" w:customStyle="1" w:styleId="EndNoteBibliographyTitle4">
    <w:name w:val="EndNote Bibliography Title 字符4"/>
    <w:basedOn w:val="a0"/>
    <w:link w:val="EndNoteBibliographyTitle0"/>
    <w:rsid w:val="00D82C02"/>
    <w:rPr>
      <w:rFonts w:ascii="Times New Roman" w:eastAsia="宋体" w:hAnsi="Times New Roman" w:cs="Times New Roman"/>
      <w:kern w:val="2"/>
      <w:sz w:val="21"/>
      <w:szCs w:val="21"/>
    </w:rPr>
  </w:style>
  <w:style w:type="character" w:customStyle="1" w:styleId="EndNoteBibliographyTitle5">
    <w:name w:val="EndNote Bibliography Title 字符5"/>
    <w:basedOn w:val="a0"/>
    <w:link w:val="EndNoteBibliographyTitle0"/>
    <w:rsid w:val="00D82C02"/>
    <w:rPr>
      <w:rFonts w:ascii="Times New Roman" w:eastAsia="宋体" w:hAnsi="Times New Roman" w:cs="Times New Roman"/>
      <w:kern w:val="2"/>
      <w:sz w:val="21"/>
      <w:szCs w:val="21"/>
    </w:rPr>
  </w:style>
  <w:style w:type="character" w:customStyle="1" w:styleId="EndNoteBibliographyTitle6">
    <w:name w:val="EndNote Bibliography Title 字符6"/>
    <w:basedOn w:val="a0"/>
    <w:link w:val="EndNoteBibliographyTitle0"/>
    <w:rsid w:val="00D82C02"/>
    <w:rPr>
      <w:rFonts w:ascii="Times New Roman" w:eastAsia="宋体" w:hAnsi="Times New Roman" w:cs="Times New Roman"/>
      <w:kern w:val="2"/>
      <w:sz w:val="21"/>
      <w:szCs w:val="21"/>
    </w:rPr>
  </w:style>
  <w:style w:type="character" w:customStyle="1" w:styleId="EndNoteBibliographyTitle7">
    <w:name w:val="EndNote Bibliography Title 字符7"/>
    <w:basedOn w:val="a0"/>
    <w:link w:val="EndNoteBibliographyTitle0"/>
    <w:rsid w:val="00D82C02"/>
    <w:rPr>
      <w:rFonts w:ascii="Times New Roman" w:eastAsia="宋体" w:hAnsi="Times New Roman" w:cs="Times New Roman"/>
      <w:kern w:val="2"/>
      <w:sz w:val="21"/>
      <w:szCs w:val="21"/>
    </w:rPr>
  </w:style>
  <w:style w:type="character" w:customStyle="1" w:styleId="EndNoteBibliographyTitle8">
    <w:name w:val="EndNote Bibliography Title 字符8"/>
    <w:basedOn w:val="a0"/>
    <w:link w:val="EndNoteBibliographyTitle0"/>
    <w:rsid w:val="00D82C02"/>
    <w:rPr>
      <w:rFonts w:ascii="Times New Roman" w:eastAsia="宋体" w:hAnsi="Times New Roman" w:cs="Times New Roman"/>
      <w:kern w:val="2"/>
      <w:sz w:val="21"/>
      <w:szCs w:val="21"/>
    </w:rPr>
  </w:style>
  <w:style w:type="character" w:customStyle="1" w:styleId="EndNoteBibliographyTitle9">
    <w:name w:val="EndNote Bibliography Title 字符9"/>
    <w:basedOn w:val="a0"/>
    <w:link w:val="EndNoteBibliographyTitle0"/>
    <w:rsid w:val="00D82C02"/>
    <w:rPr>
      <w:rFonts w:ascii="Times New Roman" w:eastAsia="宋体" w:hAnsi="Times New Roman" w:cs="Times New Roman"/>
      <w:kern w:val="2"/>
      <w:sz w:val="21"/>
      <w:szCs w:val="21"/>
    </w:rPr>
  </w:style>
  <w:style w:type="character" w:customStyle="1" w:styleId="EndNoteBibliographyTitle10">
    <w:name w:val="EndNote Bibliography Title 字符10"/>
    <w:basedOn w:val="a0"/>
    <w:link w:val="EndNoteBibliographyTitle0"/>
    <w:rsid w:val="00D82C02"/>
    <w:rPr>
      <w:rFonts w:ascii="Times New Roman" w:eastAsia="宋体" w:hAnsi="Times New Roman" w:cs="Times New Roman"/>
      <w:noProof/>
      <w:kern w:val="2"/>
      <w:szCs w:val="21"/>
    </w:rPr>
  </w:style>
  <w:style w:type="paragraph" w:customStyle="1" w:styleId="EndNoteBibliography">
    <w:name w:val="EndNote Bibliography"/>
    <w:basedOn w:val="a"/>
    <w:link w:val="EndNoteBibliography0"/>
    <w:rsid w:val="00D82C02"/>
    <w:pPr>
      <w:spacing w:line="240" w:lineRule="auto"/>
    </w:pPr>
    <w:rPr>
      <w:noProof/>
      <w:sz w:val="20"/>
    </w:rPr>
  </w:style>
  <w:style w:type="character" w:customStyle="1" w:styleId="EndNoteBibliography0">
    <w:name w:val="EndNote Bibliography 字符"/>
    <w:basedOn w:val="a0"/>
    <w:link w:val="EndNoteBibliography"/>
    <w:rsid w:val="00D82C02"/>
    <w:rPr>
      <w:rFonts w:ascii="Times New Roman" w:eastAsia="宋体" w:hAnsi="Times New Roman" w:cs="Times New Roman"/>
      <w:noProof/>
      <w:kern w:val="2"/>
      <w:szCs w:val="21"/>
    </w:rPr>
  </w:style>
  <w:style w:type="character" w:styleId="affe">
    <w:name w:val="Unresolved Mention"/>
    <w:basedOn w:val="a0"/>
    <w:uiPriority w:val="99"/>
    <w:semiHidden/>
    <w:unhideWhenUsed/>
    <w:rsid w:val="00D82C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2.jpe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file:///C:\Users\PC\Documents\WeChat%20Files\wanghaoran1314\FileStorage\File\2025-04\&#27605;&#19994;&#35770;&#25991;-&#23450;&#31295;-&#29579;&#28009;&#28982;-B18060121(1).docx"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file:///C:\Users\PC\Documents\WeChat%20Files\wanghaoran1314\FileStorage\File\2025-04\&#27605;&#19994;&#35770;&#25991;-&#23450;&#31295;-&#29579;&#28009;&#28982;-B18060121(1).docx"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file:///C:\Users\PC\Documents\WeChat%20Files\wanghaoran1314\FileStorage\File\2025-04\&#27605;&#19994;&#35770;&#25991;-&#23450;&#31295;-&#29579;&#28009;&#28982;-B18060121(1).docx" TargetMode="External"/><Relationship Id="rId20" Type="http://schemas.openxmlformats.org/officeDocument/2006/relationships/hyperlink" Target="file:///C:\Users\PC\Documents\WeChat%20Files\wanghaoran1314\FileStorage\File\2025-04\&#27605;&#19994;&#35770;&#25991;-&#23450;&#31295;-&#29579;&#28009;&#28982;-B18060121(1).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file:///C:\Users\PC\Documents\WeChat%20Files\wanghaoran1314\FileStorage\File\2025-04\&#27605;&#19994;&#35770;&#25991;-&#23450;&#31295;-&#29579;&#28009;&#28982;-B18060121(1).docx" TargetMode="Externa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file:///C:\Users\PC\Documents\WeChat%20Files\wanghaoran1314\FileStorage\File\2025-04\&#27605;&#19994;&#35770;&#25991;-&#23450;&#31295;-&#29579;&#28009;&#28982;-B18060121(1).docx" TargetMode="External"/><Relationship Id="rId10" Type="http://schemas.openxmlformats.org/officeDocument/2006/relationships/header" Target="header1.xml"/><Relationship Id="rId19" Type="http://schemas.openxmlformats.org/officeDocument/2006/relationships/hyperlink" Target="file:///C:\Users\PC\Documents\WeChat%20Files\wanghaoran1314\FileStorage\File\2025-04\&#27605;&#19994;&#35770;&#25991;-&#23450;&#31295;-&#29579;&#28009;&#28982;-B18060121(1).docx"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hyperlink" Target="file:///C:\Users\PC\Documents\WeChat%20Files\wanghaoran1314\FileStorage\File\2025-04\&#27605;&#19994;&#35770;&#25991;-&#23450;&#31295;-&#29579;&#28009;&#28982;-B18060121(1).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33"/>
    <customShpInfo spid="_x0000_s1032"/>
    <customShpInfo spid="_x0000_s103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AF53A0-C743-4EE3-BC65-38FBEB47F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15</Pages>
  <Words>6726</Words>
  <Characters>7870</Characters>
  <Application>Microsoft Office Word</Application>
  <DocSecurity>8</DocSecurity>
  <Lines>291</Lines>
  <Paragraphs>169</Paragraphs>
  <ScaleCrop>false</ScaleCrop>
  <Company/>
  <LinksUpToDate>false</LinksUpToDate>
  <CharactersWithSpaces>14427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 Dr.</dc:creator>
  <cp:lastModifiedBy>Wang Dr.</cp:lastModifiedBy>
  <cp:revision>11</cp:revision>
  <cp:lastPrinted>2026-06-15T04:59:00Z</cp:lastPrinted>
  <dcterms:created xsi:type="dcterms:W3CDTF">2026-04-07T01:41:00Z</dcterms:created>
  <dcterms:modified xsi:type="dcterms:W3CDTF">2026-06-15T05:06:00Z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eyJoZGlkIjoiNzhkNGIwZTEwN2FmOTk0MDVkNmZjMjg1NjJmMzNiNzkiLCJ1c2VySWQiOiIyNjkzNjkxOTcifQ==</vt:lpwstr>
  </property>
  <property fmtid="{D5CDD505-2E9C-101B-9397-08002B2CF9AE}" pid="3" name="KSOProductBuildVer">
    <vt:lpwstr>2052-12.1.0.25225</vt:lpwstr>
  </property>
  <property fmtid="{D5CDD505-2E9C-101B-9397-08002B2CF9AE}" pid="4" name="ICV">
    <vt:lpwstr>BA5146FC399B4DF4AFF6F046A7879BB0_12</vt:lpwstr>
  </property>
</Properties>
</file>